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PURE AWAS BUILDERS LLP</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Pr>
          <w:rFonts w:asciiTheme="majorHAnsi" w:hAnsiTheme="majorHAnsi" w:cstheme="majorHAnsi"/>
          <w:b/>
          <w:sz w:val="20"/>
          <w:szCs w:val="20"/>
        </w:rPr>
        <w:t>5th Floor, 526, Park Centra Building, Sector 30, Gurgaon, Haryana</w:t>
      </w:r>
      <w:r w:rsidRPr="0046755F">
        <w:rPr>
          <w:rFonts w:asciiTheme="majorHAnsi" w:hAnsiTheme="majorHAnsi" w:cstheme="majorHAnsi"/>
          <w:sz w:val="20"/>
          <w:szCs w:val="20"/>
        </w:rPr>
        <w:t xml:space="preserve"> and its PAN is </w:t>
      </w:r>
      <w:r>
        <w:rPr>
          <w:rFonts w:asciiTheme="majorHAnsi" w:hAnsiTheme="majorHAnsi" w:cstheme="majorHAnsi"/>
          <w:b/>
          <w:sz w:val="20"/>
          <w:szCs w:val="20"/>
        </w:rPr>
        <w:t>AAMFP8936C</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Pr>
          <w:rFonts w:asciiTheme="majorHAnsi" w:hAnsiTheme="majorHAnsi" w:cstheme="majorHAnsi"/>
          <w:b/>
          <w:sz w:val="20"/>
          <w:szCs w:val="20"/>
        </w:rPr>
        <w:t>Mrs.</w:t>
      </w:r>
      <w:r>
        <w:rPr>
          <w:rFonts w:asciiTheme="majorHAnsi" w:hAnsiTheme="majorHAnsi" w:cstheme="majorHAnsi"/>
          <w:b/>
          <w:sz w:val="20"/>
          <w:szCs w:val="20"/>
        </w:rPr>
        <w:t xml:space="preserve"> </w:t>
      </w:r>
      <w:r>
        <w:rPr>
          <w:rFonts w:asciiTheme="majorHAnsi" w:hAnsiTheme="majorHAnsi" w:cstheme="majorHAnsi"/>
          <w:b/>
          <w:sz w:val="20"/>
          <w:szCs w:val="20"/>
        </w:rPr>
        <w:t>Meenu Sahni</w:t>
      </w:r>
      <w:r w:rsidRPr="0046755F">
        <w:rPr>
          <w:rFonts w:asciiTheme="majorHAnsi" w:hAnsiTheme="majorHAnsi" w:cstheme="majorHAnsi"/>
          <w:b/>
          <w:sz w:val="20"/>
          <w:szCs w:val="20"/>
        </w:rPr>
        <w:t xml:space="preserve"> </w:t>
      </w:r>
      <w:r>
        <w:rPr>
          <w:rFonts w:asciiTheme="majorHAnsi" w:hAnsiTheme="majorHAnsi" w:cstheme="majorHAnsi"/>
          <w:b/>
          <w:sz w:val="20"/>
          <w:szCs w:val="20"/>
        </w:rPr>
        <w:t>W/o- Irwin Kumar</w:t>
      </w:r>
      <w:r w:rsidRPr="0046755F">
        <w:rPr>
          <w:rFonts w:asciiTheme="majorHAnsi" w:hAnsiTheme="majorHAnsi" w:cstheme="majorHAnsi"/>
          <w:b/>
          <w:sz w:val="20"/>
          <w:szCs w:val="20"/>
        </w:rPr>
        <w:t>,</w:t>
      </w:r>
      <w:r w:rsidRPr="0046755F">
        <w:rPr>
          <w:rFonts w:asciiTheme="majorHAnsi" w:hAnsiTheme="majorHAnsi" w:cstheme="majorHAnsi"/>
          <w:sz w:val="20"/>
          <w:szCs w:val="20"/>
        </w:rPr>
        <w:t xml:space="preserve"> R/o </w:t>
      </w:r>
      <w:r>
        <w:rPr>
          <w:rFonts w:asciiTheme="majorHAnsi" w:hAnsiTheme="majorHAnsi" w:cstheme="majorHAnsi"/>
          <w:b/>
          <w:sz w:val="20"/>
          <w:szCs w:val="20"/>
        </w:rPr>
        <w:t>C-149,A, Mansarover Garden, West Delhi, Delhi, 110015</w:t>
      </w:r>
      <w:r w:rsidRPr="0046755F">
        <w:rPr>
          <w:rFonts w:asciiTheme="majorHAnsi" w:hAnsiTheme="majorHAnsi" w:cstheme="majorHAnsi"/>
          <w:sz w:val="20"/>
          <w:szCs w:val="20"/>
        </w:rPr>
        <w:t xml:space="preserve">, bearing Aadhar No. </w:t>
      </w:r>
      <w:proofErr w:type="spellStart"/>
      <w:proofErr w:type="spellEnd"/>
      <w:r>
        <w:rPr>
          <w:rFonts w:asciiTheme="majorHAnsi" w:hAnsiTheme="majorHAnsi" w:cstheme="majorHAnsi"/>
          <w:b/>
          <w:sz w:val="20"/>
          <w:szCs w:val="20"/>
        </w:rPr>
        <w:t>551041328339</w:t>
      </w:r>
      <w:r w:rsidRPr="0046755F">
        <w:rPr>
          <w:rFonts w:asciiTheme="majorHAnsi" w:hAnsiTheme="majorHAnsi" w:cstheme="majorHAnsi"/>
          <w:sz w:val="20"/>
          <w:szCs w:val="20"/>
        </w:rPr>
        <w:t xml:space="preserve">, and PAN No. </w:t>
      </w:r>
      <w:r>
        <w:rPr>
          <w:rFonts w:asciiTheme="majorHAnsi" w:hAnsiTheme="majorHAnsi" w:cstheme="majorHAnsi"/>
          <w:b/>
          <w:sz w:val="20"/>
          <w:szCs w:val="20"/>
        </w:rPr>
        <w:t>AOHPS1983H</w:t>
      </w:r>
      <w:r w:rsidRPr="0046755F">
        <w:rPr>
          <w:rFonts w:asciiTheme="majorHAnsi" w:hAnsiTheme="majorHAnsi" w:cstheme="majorHAnsi"/>
          <w:sz w:val="20"/>
          <w:szCs w:val="20"/>
        </w:rPr>
        <w:t xml:space="preserve"> and Co-applicant </w:t>
      </w:r>
      <w:r>
        <w:rPr>
          <w:rFonts w:asciiTheme="majorHAnsi" w:hAnsiTheme="majorHAnsi" w:cstheme="majorHAnsi"/>
          <w:b/>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w:t>
      </w:r>
      <w:r>
        <w:rPr>
          <w:rFonts w:asciiTheme="majorHAnsi" w:hAnsiTheme="majorHAnsi" w:cstheme="majorHAnsi"/>
          <w:b/>
          <w:sz w:val="20"/>
          <w:szCs w:val="20"/>
        </w:rPr>
        <w:t>N/A</w:t>
      </w:r>
      <w:r w:rsidRPr="0046755F">
        <w:rPr>
          <w:rFonts w:asciiTheme="majorHAnsi" w:hAnsiTheme="majorHAnsi" w:cstheme="majorHAnsi"/>
          <w:sz w:val="20"/>
          <w:szCs w:val="20"/>
        </w:rPr>
        <w:t xml:space="preserve"> R/o </w:t>
      </w:r>
      <w:r>
        <w:rPr>
          <w:rFonts w:asciiTheme="majorHAnsi" w:hAnsiTheme="majorHAnsi" w:cstheme="majorHAnsi"/>
          <w:b/>
          <w:sz w:val="20"/>
          <w:szCs w:val="20"/>
        </w:rPr>
        <w:t>N/A</w:t>
      </w:r>
      <w:r w:rsidRPr="0046755F">
        <w:rPr>
          <w:rFonts w:asciiTheme="majorHAnsi" w:hAnsiTheme="majorHAnsi" w:cstheme="majorHAnsi"/>
          <w:sz w:val="20"/>
          <w:szCs w:val="20"/>
        </w:rPr>
        <w:t xml:space="preserve">, bearing Aadhar No. </w:t>
      </w:r>
      <w:r w:rsidRPr="0046755F">
        <w:rPr>
          <w:rFonts w:asciiTheme="majorHAnsi" w:hAnsiTheme="majorHAnsi" w:cstheme="majorHAnsi"/>
          <w:sz w:val="20"/>
          <w:szCs w:val="20"/>
        </w:rPr>
        <w:t xml:space="preserve">, and PAN No. </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w:t>
      </w:r>
      <w:proofErr w:type="gramStart"/>
      <w:r w:rsidRPr="0046755F">
        <w:rPr>
          <w:rFonts w:asciiTheme="majorHAnsi" w:hAnsiTheme="majorHAnsi" w:cstheme="majorHAnsi"/>
          <w:sz w:val="20"/>
          <w:szCs w:val="20"/>
        </w:rPr>
        <w:t>executors</w:t>
      </w:r>
      <w:proofErr w:type="gramEnd"/>
      <w:r w:rsidRPr="0046755F">
        <w:rPr>
          <w:rFonts w:asciiTheme="majorHAnsi" w:hAnsiTheme="majorHAnsi" w:cstheme="majorHAnsi"/>
          <w:sz w:val="20"/>
          <w:szCs w:val="20"/>
        </w:rPr>
        <w:t xml:space="preserve">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Pr>
          <w:rFonts w:asciiTheme="majorHAnsi" w:hAnsiTheme="majorHAnsi" w:cstheme="majorHAnsi"/>
          <w:b/>
          <w:sz w:val="20"/>
          <w:szCs w:val="20"/>
        </w:rPr>
        <w:t>C-45</w:t>
      </w:r>
      <w:r w:rsidR="00692804" w:rsidRPr="0046755F">
        <w:rPr>
          <w:rFonts w:asciiTheme="majorHAnsi" w:hAnsiTheme="majorHAnsi" w:cstheme="majorHAnsi"/>
          <w:b/>
          <w:sz w:val="20"/>
          <w:szCs w:val="20"/>
        </w:rPr>
        <w:t xml:space="preserve">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0047B7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Axis Bank </w:t>
      </w:r>
      <w:r w:rsidR="00C04785" w:rsidRPr="005974D6">
        <w:rPr>
          <w:rFonts w:asciiTheme="minorHAnsi" w:hAnsiTheme="minorHAnsi" w:cstheme="minorHAnsi"/>
          <w:sz w:val="20"/>
          <w:szCs w:val="20"/>
        </w:rPr>
        <w:t>Account No-</w:t>
      </w:r>
      <w:r w:rsidR="003C23CA" w:rsidRPr="005974D6">
        <w:rPr>
          <w:rFonts w:asciiTheme="minorHAnsi" w:hAnsiTheme="minorHAnsi" w:cstheme="minorHAnsi"/>
          <w:sz w:val="20"/>
          <w:szCs w:val="20"/>
          <w:lang w:val="en-IN"/>
        </w:rPr>
        <w:t>922020066133725</w:t>
      </w:r>
      <w:r w:rsidR="00C0478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Pr>
          <w:rFonts w:asciiTheme="majorHAnsi" w:hAnsiTheme="majorHAnsi" w:cstheme="majorHAnsi"/>
          <w:b/>
          <w:sz w:val="20"/>
          <w:szCs w:val="20"/>
        </w:rPr>
        <w:t>09-04-2025</w:t>
      </w:r>
      <w:r w:rsidRPr="0046755F">
        <w:rPr>
          <w:rFonts w:asciiTheme="majorHAnsi" w:hAnsiTheme="majorHAnsi" w:cstheme="majorHAnsi"/>
          <w:sz w:val="20"/>
          <w:szCs w:val="20"/>
        </w:rPr>
        <w:t xml:space="preserve"> and has been allotted Unit no. </w:t>
      </w:r>
      <w:r>
        <w:rPr>
          <w:rFonts w:asciiTheme="majorHAnsi" w:hAnsiTheme="majorHAnsi" w:cstheme="majorHAnsi"/>
          <w:b/>
          <w:sz w:val="20"/>
          <w:szCs w:val="20"/>
        </w:rPr>
        <w:t>C-45</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b/>
          <w:sz w:val="20"/>
          <w:szCs w:val="20"/>
        </w:rPr>
        <w:t xml:space="preserve">, </w:t>
      </w:r>
      <w:proofErr w:type="spellStart"/>
      <w:proofErr w:type="spellEnd"/>
      <w:r>
        <w:rPr>
          <w:rFonts w:asciiTheme="majorHAnsi" w:hAnsiTheme="majorHAnsi" w:cstheme="majorHAnsi"/>
          <w:b/>
          <w:spacing w:val="-3"/>
          <w:sz w:val="20"/>
          <w:szCs w:val="20"/>
        </w:rPr>
        <w:t>Simplex Villa</w:t>
      </w:r>
      <w:r w:rsidRPr="0046755F">
        <w:rPr>
          <w:rFonts w:asciiTheme="majorHAnsi" w:hAnsiTheme="majorHAnsi" w:cstheme="majorHAnsi"/>
          <w:b/>
          <w:spacing w:val="-3"/>
          <w:sz w:val="20"/>
          <w:szCs w:val="20"/>
        </w:rPr>
        <w:t xml:space="preserve"> </w:t>
      </w:r>
      <w:r w:rsidRPr="0046755F">
        <w:rPr>
          <w:rFonts w:asciiTheme="majorHAnsi" w:hAnsiTheme="majorHAnsi" w:cstheme="majorHAnsi"/>
          <w:sz w:val="20"/>
          <w:szCs w:val="20"/>
        </w:rPr>
        <w:t xml:space="preserve"> on </w:t>
      </w:r>
      <w:r>
        <w:rPr>
          <w:rFonts w:asciiTheme="majorHAnsi" w:hAnsiTheme="majorHAnsi" w:cstheme="majorHAnsi"/>
          <w:b/>
          <w:sz w:val="20"/>
          <w:szCs w:val="20"/>
        </w:rPr>
        <w:t>Ground Floor GF</w:t>
      </w:r>
      <w:r w:rsidRPr="0046755F">
        <w:rPr>
          <w:rFonts w:asciiTheme="majorHAnsi" w:hAnsiTheme="majorHAnsi" w:cstheme="majorHAnsi"/>
          <w:b/>
          <w:sz w:val="20"/>
          <w:szCs w:val="20"/>
        </w:rPr>
        <w:t xml:space="preserve">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Pr>
          <w:rFonts w:asciiTheme="majorHAnsi" w:hAnsiTheme="majorHAnsi" w:cstheme="majorHAnsi"/>
          <w:b/>
          <w:sz w:val="20"/>
          <w:szCs w:val="20"/>
        </w:rPr>
        <w:t xml:space="preserve"> 1,86,850.00</w:t>
      </w:r>
      <w:r w:rsidRPr="0046755F">
        <w:rPr>
          <w:rFonts w:asciiTheme="majorHAnsi" w:hAnsiTheme="majorHAnsi" w:cstheme="majorHAnsi"/>
          <w:b/>
          <w:sz w:val="20"/>
          <w:szCs w:val="20"/>
        </w:rPr>
        <w:t>/-(</w:t>
      </w:r>
      <w:r>
        <w:rPr>
          <w:rFonts w:asciiTheme="majorHAnsi" w:hAnsiTheme="majorHAnsi" w:cstheme="majorHAnsi"/>
          <w:b/>
          <w:sz w:val="20"/>
          <w:szCs w:val="20"/>
        </w:rPr>
        <w:t xml:space="preserve">One Lakh Eighty Six Thousand Eight Hundred Fifty only </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Pr>
          <w:rFonts w:asciiTheme="majorHAnsi" w:hAnsiTheme="majorHAnsi" w:cstheme="majorHAnsi"/>
          <w:b/>
          <w:noProof/>
          <w:sz w:val="20"/>
          <w:szCs w:val="20"/>
        </w:rPr>
        <w:t>09-04-2025</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proofErr w:type="spellStart"/>
      <w:proofErr w:type="spellEnd"/>
      <w:r>
        <w:rPr>
          <w:rFonts w:asciiTheme="majorHAnsi" w:hAnsiTheme="majorHAnsi" w:cstheme="majorHAnsi"/>
          <w:b/>
          <w:color w:val="000000"/>
          <w:sz w:val="20"/>
          <w:szCs w:val="20"/>
        </w:rPr>
        <w:t xml:space="preserve"> 25,000.00</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proofErr w:type="spellStart"/>
      <w:proofErr w:type="spellEnd"/>
      <w:r>
        <w:rPr>
          <w:rFonts w:asciiTheme="majorHAnsi" w:hAnsiTheme="majorHAnsi" w:cstheme="majorHAnsi"/>
          <w:b/>
          <w:color w:val="000000"/>
          <w:sz w:val="20"/>
          <w:szCs w:val="20"/>
        </w:rPr>
        <w:t xml:space="preserve">Twenty Five Thousand  only </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Pr>
          <w:rFonts w:asciiTheme="majorHAnsi" w:hAnsiTheme="majorHAnsi" w:cstheme="majorHAnsi"/>
          <w:b/>
          <w:sz w:val="20"/>
          <w:szCs w:val="20"/>
          <w:lang w:val="en-US"/>
        </w:rPr>
        <w:t>C-45</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sz w:val="20"/>
          <w:szCs w:val="20"/>
        </w:rPr>
        <w:t xml:space="preserve">/- </w:t>
      </w:r>
      <w:proofErr w:type="spellStart"/>
      <w:proofErr w:type="spellEnd"/>
      <w:r>
        <w:rPr>
          <w:rFonts w:asciiTheme="majorHAnsi" w:hAnsiTheme="majorHAnsi" w:cstheme="majorHAnsi"/>
          <w:bCs w:val="0"/>
          <w:spacing w:val="-5"/>
          <w:sz w:val="20"/>
          <w:szCs w:val="20"/>
        </w:rPr>
        <w:t xml:space="preserve">Eighteen Lakh Sixty Eight Thousand Five Hundred  only </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Pr>
          <w:rFonts w:asciiTheme="majorHAnsi" w:hAnsiTheme="majorHAnsi" w:cstheme="majorHAnsi"/>
          <w:b/>
          <w:sz w:val="20"/>
          <w:szCs w:val="20"/>
          <w:lang w:val="en-US"/>
        </w:rPr>
        <w:t xml:space="preserve"> 1,86,850.00</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w:t>
      </w:r>
      <w:r>
        <w:rPr>
          <w:rFonts w:asciiTheme="majorHAnsi" w:hAnsiTheme="majorHAnsi" w:cstheme="majorHAnsi"/>
          <w:b/>
          <w:sz w:val="20"/>
          <w:szCs w:val="20"/>
          <w:lang w:val="en-US"/>
        </w:rPr>
        <w:t xml:space="preserve">One Lakh Eighty Six Thousand Eight Hundred Fifty only </w:t>
      </w:r>
      <w:r w:rsidR="001215BB" w:rsidRPr="0046755F">
        <w:rPr>
          <w:rFonts w:asciiTheme="majorHAnsi" w:hAnsiTheme="majorHAnsi" w:cstheme="majorHAnsi"/>
          <w:b/>
          <w:sz w:val="20"/>
          <w:szCs w:val="20"/>
          <w:lang w:val="en-US"/>
        </w:rPr>
        <w:t xml:space="preserve">)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Pr>
          <w:rFonts w:asciiTheme="majorHAnsi" w:hAnsiTheme="majorHAnsi" w:cstheme="majorHAnsi"/>
          <w:sz w:val="20"/>
          <w:szCs w:val="20"/>
        </w:rPr>
        <w:t xml:space="preserve"> 1,86,850.00</w:t>
      </w:r>
      <w:r w:rsidR="001215BB" w:rsidRPr="0046755F">
        <w:rPr>
          <w:rFonts w:asciiTheme="majorHAnsi" w:hAnsiTheme="majorHAnsi" w:cstheme="majorHAnsi"/>
          <w:sz w:val="20"/>
          <w:szCs w:val="20"/>
        </w:rPr>
        <w:t>/- (</w:t>
      </w:r>
      <w:r>
        <w:rPr>
          <w:rFonts w:asciiTheme="majorHAnsi" w:hAnsiTheme="majorHAnsi" w:cstheme="majorHAnsi"/>
          <w:sz w:val="20"/>
          <w:szCs w:val="20"/>
        </w:rPr>
        <w:t xml:space="preserve">One Lakh Eighty Six Thousand Eight Hundred Fifty only </w:t>
      </w:r>
      <w:r w:rsidR="001215BB" w:rsidRPr="0046755F">
        <w:rPr>
          <w:rFonts w:asciiTheme="majorHAnsi" w:hAnsiTheme="majorHAnsi" w:cstheme="majorHAnsi"/>
          <w:sz w:val="20"/>
          <w:szCs w:val="20"/>
        </w:rPr>
        <w:t xml:space="preserve">)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20"/>
          <w:szCs w:val="20"/>
        </w:rPr>
        <w:t xml:space="preserve"> 18,68,500.00</w:t>
      </w:r>
      <w:r w:rsidR="001215BB" w:rsidRPr="0046755F">
        <w:rPr>
          <w:rFonts w:asciiTheme="majorHAnsi" w:hAnsiTheme="majorHAnsi" w:cstheme="majorHAnsi"/>
          <w:b w:val="0"/>
          <w:bCs w:val="0"/>
          <w:color w:val="000000" w:themeColor="text1"/>
          <w:sz w:val="20"/>
          <w:szCs w:val="20"/>
        </w:rPr>
        <w:t>/-</w:t>
      </w:r>
      <w:proofErr w:type="spellStart"/>
      <w:proofErr w:type="spellEnd"/>
      <w:r>
        <w:rPr>
          <w:rFonts w:asciiTheme="majorHAnsi" w:hAnsiTheme="majorHAnsi" w:cstheme="majorHAnsi"/>
          <w:bCs w:val="0"/>
          <w:color w:val="000000" w:themeColor="text1"/>
          <w:sz w:val="20"/>
          <w:szCs w:val="20"/>
        </w:rPr>
        <w:t xml:space="preserve">Eighteen Lakh Sixty Eight Thousand Five Hundred  only </w:t>
      </w:r>
      <w:r w:rsidR="001215BB" w:rsidRPr="0046755F">
        <w:rPr>
          <w:rFonts w:asciiTheme="majorHAnsi" w:hAnsiTheme="majorHAnsi" w:cstheme="majorHAnsi"/>
          <w:b w:val="0"/>
          <w:bCs w:val="0"/>
          <w:sz w:val="20"/>
          <w:szCs w:val="20"/>
        </w:rPr>
        <w:t>and the Allottee agrees and undertakes to pay the balance amount of INR</w:t>
      </w:r>
      <w:r>
        <w:rPr>
          <w:rFonts w:asciiTheme="majorHAnsi" w:hAnsiTheme="majorHAnsi" w:cstheme="majorHAnsi"/>
          <w:color w:val="000000" w:themeColor="text1"/>
          <w:sz w:val="20"/>
          <w:szCs w:val="20"/>
        </w:rPr>
        <w:t xml:space="preserve"> 16,81,650.00</w:t>
      </w:r>
      <w:r w:rsidR="001215BB" w:rsidRPr="0046755F">
        <w:rPr>
          <w:rFonts w:asciiTheme="majorHAnsi" w:hAnsiTheme="majorHAnsi" w:cstheme="majorHAnsi"/>
          <w:b w:val="0"/>
          <w:bCs w:val="0"/>
          <w:color w:val="000000" w:themeColor="text1"/>
          <w:sz w:val="20"/>
          <w:szCs w:val="20"/>
        </w:rPr>
        <w:t>/- (</w:t>
      </w:r>
      <w:r>
        <w:rPr>
          <w:rFonts w:asciiTheme="majorHAnsi" w:hAnsiTheme="majorHAnsi" w:cstheme="majorHAnsi"/>
          <w:bCs w:val="0"/>
          <w:sz w:val="20"/>
          <w:szCs w:val="20"/>
        </w:rPr>
        <w:t xml:space="preserve">Sixteen Lakh Eighty One Thousand Six Hundred Fifty only </w:t>
      </w:r>
      <w:r w:rsidR="001215BB" w:rsidRPr="0046755F">
        <w:rPr>
          <w:rFonts w:asciiTheme="majorHAnsi" w:hAnsiTheme="majorHAnsi" w:cstheme="majorHAnsi"/>
          <w:bCs w:val="0"/>
          <w:sz w:val="20"/>
          <w:szCs w:val="20"/>
        </w:rPr>
        <w:t xml:space="preserve">)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Pr>
          <w:rFonts w:asciiTheme="majorHAnsi" w:hAnsiTheme="majorHAnsi" w:cstheme="majorHAnsi"/>
          <w:sz w:val="20"/>
          <w:szCs w:val="20"/>
        </w:rPr>
        <w:t xml:space="preserve"> 1,86,850.00</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w:t>
      </w:r>
      <w:r>
        <w:rPr>
          <w:rFonts w:asciiTheme="majorHAnsi" w:hAnsiTheme="majorHAnsi" w:cstheme="majorHAnsi"/>
          <w:bCs w:val="0"/>
          <w:sz w:val="20"/>
          <w:szCs w:val="20"/>
        </w:rPr>
        <w:t xml:space="preserve">One Lakh Eighty Six Thousand Eight Hundred Fifty only </w:t>
      </w:r>
      <w:r w:rsidR="00DF1E6D" w:rsidRPr="0046755F">
        <w:rPr>
          <w:rFonts w:asciiTheme="majorHAnsi" w:hAnsiTheme="majorHAnsi" w:cstheme="majorHAnsi"/>
          <w:bCs w:val="0"/>
          <w:sz w:val="20"/>
          <w:szCs w:val="20"/>
        </w:rPr>
        <w: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Pr>
          <w:rFonts w:asciiTheme="majorHAnsi" w:hAnsiTheme="majorHAnsi" w:cstheme="majorHAnsi"/>
          <w:b/>
          <w:sz w:val="20"/>
          <w:szCs w:val="20"/>
        </w:rPr>
        <w:t>PURE AWAS BUILDERS LLP</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proofErr w:type="spellStart"/>
      <w:proofErr w:type="spellEnd"/>
      <w:r>
        <w:rPr>
          <w:rFonts w:asciiTheme="majorHAnsi" w:hAnsiTheme="majorHAnsi" w:cstheme="majorHAnsi"/>
          <w:b/>
          <w:sz w:val="20"/>
          <w:szCs w:val="20"/>
        </w:rPr>
        <w:t xml:space="preserve"> 25,000.00</w:t>
      </w:r>
      <w:r w:rsidR="00E8740E" w:rsidRPr="0046755F">
        <w:rPr>
          <w:rFonts w:asciiTheme="majorHAnsi" w:hAnsiTheme="majorHAnsi" w:cstheme="majorHAnsi"/>
          <w:sz w:val="20"/>
          <w:szCs w:val="20"/>
        </w:rPr>
        <w:t>/- (</w:t>
      </w:r>
      <w:proofErr w:type="spellStart"/>
      <w:proofErr w:type="spellEnd"/>
      <w:r>
        <w:rPr>
          <w:rFonts w:asciiTheme="majorHAnsi" w:hAnsiTheme="majorHAnsi" w:cstheme="majorHAnsi"/>
          <w:b/>
          <w:sz w:val="20"/>
          <w:szCs w:val="20"/>
        </w:rPr>
        <w:t xml:space="preserve">Twenty Five Thousand  only </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660F54F0" w14:textId="6256502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p w14:paraId="753A747E"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E80F08" w:rsidRPr="005974D6" w14:paraId="04BCB1A5" w14:textId="77777777" w:rsidTr="006648D5">
        <w:trPr>
          <w:trHeight w:val="446"/>
        </w:trPr>
        <w:tc>
          <w:tcPr>
            <w:tcW w:w="4557" w:type="dxa"/>
          </w:tcPr>
          <w:p w14:paraId="5E9408E5" w14:textId="4E3B9631" w:rsidR="00E80F08" w:rsidRPr="005974D6" w:rsidRDefault="00E8740E" w:rsidP="00083A55">
            <w:pPr>
              <w:pStyle w:val="TableParagraph"/>
              <w:tabs>
                <w:tab w:val="left" w:pos="426"/>
                <w:tab w:val="left" w:pos="930"/>
                <w:tab w:val="left" w:leader="dot" w:pos="1355"/>
              </w:tabs>
              <w:spacing w:after="160" w:line="360" w:lineRule="auto"/>
              <w:ind w:left="107" w:right="95"/>
              <w:jc w:val="both"/>
              <w:rPr>
                <w:rFonts w:asciiTheme="minorHAnsi" w:hAnsiTheme="minorHAnsi" w:cstheme="minorHAnsi"/>
                <w:sz w:val="20"/>
                <w:szCs w:val="20"/>
              </w:rPr>
            </w:pPr>
            <w:r w:rsidRPr="0046755F">
              <w:rPr>
                <w:rFonts w:asciiTheme="majorHAnsi" w:hAnsiTheme="majorHAnsi" w:cstheme="majorHAnsi"/>
                <w:spacing w:val="-4"/>
                <w:sz w:val="20"/>
                <w:szCs w:val="20"/>
              </w:rPr>
              <w:t xml:space="preserve">M/s </w:t>
            </w:r>
            <w:r>
              <w:rPr>
                <w:rFonts w:asciiTheme="majorHAnsi" w:hAnsiTheme="majorHAnsi" w:cstheme="majorHAnsi"/>
                <w:sz w:val="20"/>
                <w:szCs w:val="20"/>
              </w:rPr>
              <w:t>PURE AWAS BUILDERS LLP</w:t>
            </w:r>
          </w:p>
        </w:tc>
        <w:tc>
          <w:tcPr>
            <w:tcW w:w="5010" w:type="dxa"/>
          </w:tcPr>
          <w:p w14:paraId="70263498" w14:textId="07C25837"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z w:val="20"/>
                <w:szCs w:val="20"/>
              </w:rPr>
              <w:t xml:space="preserve">Allottee’s </w:t>
            </w:r>
            <w:r w:rsidRPr="0046755F">
              <w:rPr>
                <w:rFonts w:asciiTheme="majorHAnsi" w:hAnsiTheme="majorHAnsi" w:cstheme="majorHAnsi"/>
                <w:spacing w:val="-4"/>
                <w:sz w:val="20"/>
                <w:szCs w:val="20"/>
              </w:rPr>
              <w:t>name</w:t>
            </w:r>
            <w:r>
              <w:rPr>
                <w:rFonts w:asciiTheme="majorHAnsi" w:hAnsiTheme="majorHAnsi" w:cstheme="majorHAnsi"/>
                <w:spacing w:val="-4"/>
                <w:sz w:val="20"/>
                <w:szCs w:val="20"/>
              </w:rPr>
              <w:t xml:space="preserve"> - </w:t>
            </w:r>
            <w:r>
              <w:rPr>
                <w:rFonts w:asciiTheme="majorHAnsi" w:hAnsiTheme="majorHAnsi" w:cstheme="majorHAnsi"/>
                <w:b/>
                <w:sz w:val="20"/>
                <w:szCs w:val="20"/>
              </w:rPr>
              <w:t>Mrs.</w:t>
            </w:r>
            <w:r>
              <w:rPr>
                <w:rFonts w:asciiTheme="majorHAnsi" w:hAnsiTheme="majorHAnsi" w:cstheme="majorHAnsi"/>
                <w:b/>
                <w:sz w:val="20"/>
                <w:szCs w:val="20"/>
              </w:rPr>
              <w:t>Meenu Sahni</w:t>
            </w:r>
            <w:r w:rsidRPr="0046755F">
              <w:rPr>
                <w:rFonts w:asciiTheme="majorHAnsi" w:hAnsiTheme="majorHAnsi" w:cstheme="majorHAnsi"/>
                <w:b/>
                <w:sz w:val="20"/>
                <w:szCs w:val="20"/>
              </w:rPr>
              <w:t xml:space="preserve"> </w:t>
            </w:r>
            <w:r w:rsidRPr="0046755F">
              <w:rPr>
                <w:rFonts w:asciiTheme="majorHAnsi" w:hAnsiTheme="majorHAnsi" w:cstheme="majorHAnsi"/>
                <w:spacing w:val="-4"/>
                <w:sz w:val="20"/>
                <w:szCs w:val="20"/>
              </w:rPr>
              <w:t xml:space="preserve">&amp; Co-applicant </w:t>
            </w:r>
            <w:r>
              <w:rPr>
                <w:rFonts w:asciiTheme="majorHAnsi" w:hAnsiTheme="majorHAnsi" w:cstheme="majorHAnsi"/>
                <w:b/>
                <w:sz w:val="20"/>
                <w:szCs w:val="20"/>
              </w:rPr>
              <w:t>N/A</w:t>
            </w:r>
          </w:p>
        </w:tc>
      </w:tr>
      <w:tr w:rsidR="00E80F08" w:rsidRPr="005974D6" w14:paraId="1C17C953" w14:textId="77777777" w:rsidTr="006648D5">
        <w:trPr>
          <w:trHeight w:val="890"/>
        </w:trPr>
        <w:tc>
          <w:tcPr>
            <w:tcW w:w="4557" w:type="dxa"/>
          </w:tcPr>
          <w:p w14:paraId="55F7B552" w14:textId="3DE25BAC"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Address</w:t>
            </w:r>
            <w:r w:rsidR="006E0378" w:rsidRPr="005974D6">
              <w:rPr>
                <w:rFonts w:asciiTheme="minorHAnsi" w:hAnsiTheme="minorHAnsi" w:cstheme="minorHAnsi"/>
                <w:color w:val="000000" w:themeColor="text1"/>
                <w:sz w:val="20"/>
                <w:szCs w:val="20"/>
              </w:rPr>
              <w:t xml:space="preserve">: </w:t>
            </w:r>
            <w:r w:rsidR="6A39DD0B" w:rsidRPr="005974D6">
              <w:rPr>
                <w:rFonts w:asciiTheme="minorHAnsi" w:hAnsiTheme="minorHAnsi" w:cstheme="minorHAnsi"/>
                <w:color w:val="000000" w:themeColor="text1"/>
                <w:sz w:val="20"/>
                <w:szCs w:val="20"/>
              </w:rPr>
              <w:t>526, 5</w:t>
            </w:r>
            <w:r w:rsidR="6A39DD0B" w:rsidRPr="005974D6">
              <w:rPr>
                <w:rFonts w:asciiTheme="minorHAnsi" w:hAnsiTheme="minorHAnsi" w:cstheme="minorHAnsi"/>
                <w:color w:val="000000" w:themeColor="text1"/>
                <w:sz w:val="20"/>
                <w:szCs w:val="20"/>
                <w:vertAlign w:val="superscript"/>
              </w:rPr>
              <w:t>th</w:t>
            </w:r>
            <w:r w:rsidR="6A39DD0B" w:rsidRPr="005974D6">
              <w:rPr>
                <w:rFonts w:asciiTheme="minorHAnsi" w:hAnsiTheme="minorHAnsi" w:cstheme="minorHAnsi"/>
                <w:color w:val="000000" w:themeColor="text1"/>
                <w:sz w:val="20"/>
                <w:szCs w:val="20"/>
              </w:rPr>
              <w:t xml:space="preserve"> Floor, Park Centra, Sector 30, Gurugram, 122001. </w:t>
            </w:r>
          </w:p>
        </w:tc>
        <w:tc>
          <w:tcPr>
            <w:tcW w:w="5010" w:type="dxa"/>
          </w:tcPr>
          <w:p w14:paraId="48307162" w14:textId="6B93C4EC" w:rsidR="00E8740E" w:rsidRPr="0046755F" w:rsidRDefault="00E80F08" w:rsidP="00083A55">
            <w:pPr>
              <w:pStyle w:val="TableParagraph"/>
              <w:tabs>
                <w:tab w:val="left" w:pos="426"/>
              </w:tabs>
              <w:spacing w:after="160" w:line="360" w:lineRule="auto"/>
              <w:ind w:left="467" w:right="95"/>
              <w:jc w:val="both"/>
              <w:rPr>
                <w:rFonts w:asciiTheme="majorHAnsi" w:hAnsiTheme="majorHAnsi" w:cstheme="majorHAnsi"/>
                <w:b/>
                <w:sz w:val="20"/>
                <w:szCs w:val="20"/>
              </w:rPr>
            </w:pPr>
            <w:r w:rsidRPr="005974D6">
              <w:rPr>
                <w:rFonts w:asciiTheme="minorHAnsi" w:hAnsiTheme="minorHAnsi" w:cstheme="minorHAnsi"/>
                <w:spacing w:val="-2"/>
                <w:sz w:val="20"/>
                <w:szCs w:val="20"/>
              </w:rPr>
              <w:t>Address</w:t>
            </w:r>
            <w:r w:rsidR="006648D5" w:rsidRPr="005974D6">
              <w:rPr>
                <w:rFonts w:asciiTheme="minorHAnsi" w:hAnsiTheme="minorHAnsi" w:cstheme="minorHAnsi"/>
                <w:spacing w:val="-2"/>
                <w:sz w:val="20"/>
                <w:szCs w:val="20"/>
              </w:rPr>
              <w:t xml:space="preserve"> </w:t>
            </w:r>
            <w:r w:rsidR="00E8740E">
              <w:rPr>
                <w:rFonts w:asciiTheme="majorHAnsi" w:hAnsiTheme="majorHAnsi" w:cstheme="majorHAnsi"/>
                <w:spacing w:val="-2"/>
                <w:sz w:val="20"/>
                <w:szCs w:val="20"/>
              </w:rPr>
              <w:t xml:space="preserve">- </w:t>
            </w:r>
            <w:r>
              <w:rPr>
                <w:rFonts w:asciiTheme="majorHAnsi" w:hAnsiTheme="majorHAnsi" w:cstheme="majorHAnsi"/>
                <w:b/>
                <w:sz w:val="20"/>
                <w:szCs w:val="20"/>
              </w:rPr>
              <w:t>C-149,A, Mansarover Garden, West Delhi, Delhi, 110015</w:t>
            </w:r>
            <w:r w:rsidR="00E8740E" w:rsidRPr="0046755F">
              <w:rPr>
                <w:rFonts w:asciiTheme="majorHAnsi" w:hAnsiTheme="majorHAnsi" w:cstheme="majorHAnsi"/>
                <w:b/>
                <w:sz w:val="20"/>
                <w:szCs w:val="20"/>
              </w:rPr>
              <w:t xml:space="preserve"> </w:t>
            </w:r>
            <w:r w:rsidR="00E8740E" w:rsidRPr="0046755F">
              <w:rPr>
                <w:rFonts w:asciiTheme="majorHAnsi" w:hAnsiTheme="majorHAnsi" w:cstheme="majorHAnsi"/>
                <w:sz w:val="20"/>
                <w:szCs w:val="20"/>
              </w:rPr>
              <w:t xml:space="preserve"> </w:t>
            </w:r>
          </w:p>
          <w:p w14:paraId="1AF3F557" w14:textId="5677ACE3"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p>
        </w:tc>
      </w:tr>
    </w:tbl>
    <w:p w14:paraId="579329E7"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w:t>
      </w:r>
      <w:r w:rsidRPr="005974D6">
        <w:rPr>
          <w:rFonts w:asciiTheme="minorHAnsi" w:hAnsiTheme="minorHAnsi" w:cstheme="minorHAnsi"/>
          <w:b w:val="0"/>
          <w:bCs w:val="0"/>
          <w:spacing w:val="-2"/>
          <w:sz w:val="20"/>
          <w:szCs w:val="20"/>
        </w:rPr>
        <w:lastRenderedPageBreak/>
        <w:t xml:space="preserve">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Pr>
                <w:rFonts w:asciiTheme="majorHAnsi" w:hAnsiTheme="majorHAnsi" w:cstheme="majorHAnsi"/>
                <w:sz w:val="20"/>
                <w:szCs w:val="20"/>
              </w:rPr>
              <w:t>Meenu Sahni</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Pr>
                <w:rFonts w:asciiTheme="majorHAnsi" w:hAnsiTheme="majorHAnsi" w:cstheme="majorHAnsi"/>
                <w:sz w:val="20"/>
                <w:szCs w:val="20"/>
              </w:rPr>
              <w:t>N/A</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Pr>
                <w:rFonts w:asciiTheme="majorHAnsi" w:hAnsiTheme="majorHAnsi" w:cstheme="majorHAnsi"/>
                <w:b/>
                <w:sz w:val="20"/>
                <w:szCs w:val="20"/>
              </w:rPr>
              <w:t>PURE AWAS BUILDERS LLP</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2EA8191B"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SHUBHASHRAY VILAS PHASE III</w:t>
            </w:r>
            <w:r>
              <w:rPr>
                <w:rFonts w:asciiTheme="majorHAnsi" w:hAnsiTheme="majorHAnsi" w:cstheme="majorHAnsi"/>
                <w:sz w:val="20"/>
                <w:szCs w:val="20"/>
              </w:rPr>
              <w:t xml:space="preserve">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C-45</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1BHK</w:t>
            </w:r>
            <w:r>
              <w:rPr>
                <w:rFonts w:asciiTheme="majorHAnsi" w:hAnsiTheme="majorHAnsi" w:cstheme="majorHAnsi"/>
                <w:b/>
                <w:sz w:val="20"/>
                <w:szCs w:val="20"/>
              </w:rPr>
              <w:t xml:space="preserve"> </w:t>
            </w:r>
            <w:proofErr w:type="spellStart"/>
            <w:proofErr w:type="spellEnd"/>
            <w:r>
              <w:rPr>
                <w:rFonts w:asciiTheme="majorHAnsi" w:hAnsiTheme="majorHAnsi" w:cstheme="majorHAnsi"/>
                <w:b/>
                <w:sz w:val="20"/>
                <w:szCs w:val="20"/>
              </w:rPr>
              <w:t>Simplex Villa</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Ground Floor GF</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proofErr w:type="spellStart"/>
            <w:proofErr w:type="spellEnd"/>
            <w:r>
              <w:rPr>
                <w:rFonts w:asciiTheme="majorHAnsi" w:hAnsiTheme="majorHAnsi" w:cstheme="majorHAnsi"/>
                <w:b/>
                <w:sz w:val="20"/>
                <w:szCs w:val="20"/>
              </w:rPr>
              <w:t xml:space="preserve"> 6,133.55</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 xml:space="preserve"> 18,50,000.00</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bookmarkStart w:id="13" w:name="_GoBack"/>
            <w:bookmarkEnd w:id="13"/>
            <w:r>
              <w:rPr>
                <w:rFonts w:asciiTheme="majorHAnsi" w:hAnsiTheme="majorHAnsi" w:cstheme="majorHAnsi"/>
                <w:color w:val="000000" w:themeColor="text1"/>
                <w:sz w:val="20"/>
                <w:szCs w:val="20"/>
              </w:rPr>
              <w:t xml:space="preserve"> 0.00</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 18,500.00</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proofErr w:type="spellStart"/>
            <w:proofErr w:type="spellEnd"/>
            <w:r>
              <w:rPr>
                <w:rFonts w:asciiTheme="majorHAnsi" w:hAnsiTheme="majorHAnsi" w:cstheme="majorHAnsi"/>
                <w:b/>
                <w:color w:val="000000" w:themeColor="text1"/>
                <w:sz w:val="20"/>
                <w:szCs w:val="20"/>
              </w:rPr>
              <w:t xml:space="preserve"> 18,68,500.00</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18,68,500.00</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25,000.00</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color w:val="000000" w:themeColor="text1"/>
                <w:sz w:val="20"/>
                <w:szCs w:val="20"/>
              </w:rPr>
              <w:t xml:space="preserve"> 9,000.00</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proofErr w:type="spellStart"/>
            <w:proofErr w:type="spellEnd"/>
            <w:r>
              <w:rPr>
                <w:rFonts w:asciiTheme="majorHAnsi" w:hAnsiTheme="majorHAnsi" w:cstheme="majorHAnsi"/>
                <w:b/>
                <w:color w:val="000000" w:themeColor="text1"/>
                <w:sz w:val="20"/>
                <w:szCs w:val="20"/>
              </w:rPr>
              <w:t xml:space="preserve"> 19,02,500.00</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B2BAF3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1,85,000.00</w:t>
            </w:r>
          </w:p>
        </w:tc>
        <w:tc>
          <w:tcPr>
            <w:tcW w:w="2310" w:type="auto"/>
            <w:vAlign w:val="center"/>
          </w:tcPr>
          <w:p>
            <w:pPr/>
            <w:r>
              <w:br/>
            </w:r>
            <w:r>
              <w:t xml:space="preserve"> 925.00</w:t>
            </w:r>
          </w:p>
        </w:tc>
        <w:tc>
          <w:tcPr>
            <w:tcW w:w="2310" w:type="auto"/>
            <w:vAlign w:val="center"/>
          </w:tcPr>
          <w:p>
            <w:pPr/>
            <w:r>
              <w:br/>
            </w:r>
            <w:r>
              <w:t xml:space="preserve"> 925.00</w:t>
            </w:r>
          </w:p>
        </w:tc>
        <w:tc>
          <w:tcPr>
            <w:tcW w:w="2310" w:type="auto"/>
            <w:vAlign w:val="center"/>
          </w:tcPr>
          <w:p>
            <w:pPr/>
            <w:r>
              <w:br/>
            </w:r>
            <w:r>
              <w:t xml:space="preserve"> 1,86,850.00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4</w:t>
            </w:r>
          </w:p>
        </w:tc>
        <w:tc>
          <w:tcPr>
            <w:tcW w:w="2310" w:type="auto"/>
            <w:vAlign w:val="center"/>
          </w:tcPr>
          <w:p>
            <w:pPr/>
            <w:r>
              <w:br/>
            </w:r>
            <w:r>
              <w:t>Commencement  of Structural Framework</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5</w:t>
            </w:r>
          </w:p>
        </w:tc>
        <w:tc>
          <w:tcPr>
            <w:tcW w:w="2310" w:type="auto"/>
            <w:vAlign w:val="center"/>
          </w:tcPr>
          <w:p>
            <w:pPr/>
            <w:r>
              <w:br/>
            </w:r>
            <w:r>
              <w:t>On Slab Casting</w:t>
            </w:r>
          </w:p>
        </w:tc>
        <w:tc>
          <w:tcPr>
            <w:tcW w:w="2310" w:type="auto"/>
            <w:vAlign w:val="center"/>
          </w:tcPr>
          <w:p>
            <w:pPr/>
            <w:r>
              <w:br/>
            </w:r>
            <w:r>
              <w:t>20.00 %</w:t>
            </w:r>
          </w:p>
        </w:tc>
        <w:tc>
          <w:tcPr>
            <w:tcW w:w="2310" w:type="auto"/>
            <w:vAlign w:val="center"/>
          </w:tcPr>
          <w:p>
            <w:pPr/>
            <w:r>
              <w:br/>
            </w:r>
            <w:r>
              <w:t xml:space="preserve"> 3,70,000.00</w:t>
            </w:r>
          </w:p>
        </w:tc>
        <w:tc>
          <w:tcPr>
            <w:tcW w:w="2310" w:type="auto"/>
            <w:vAlign w:val="center"/>
          </w:tcPr>
          <w:p>
            <w:pPr/>
            <w:r>
              <w:br/>
            </w:r>
            <w:r>
              <w:t xml:space="preserve"> 1,850.00</w:t>
            </w:r>
          </w:p>
        </w:tc>
        <w:tc>
          <w:tcPr>
            <w:tcW w:w="2310" w:type="auto"/>
            <w:vAlign w:val="center"/>
          </w:tcPr>
          <w:p>
            <w:pPr/>
            <w:r>
              <w:br/>
            </w:r>
            <w:r>
              <w:t xml:space="preserve"> 1,850.00</w:t>
            </w:r>
          </w:p>
        </w:tc>
        <w:tc>
          <w:tcPr>
            <w:tcW w:w="2310" w:type="auto"/>
            <w:vAlign w:val="center"/>
          </w:tcPr>
          <w:p>
            <w:pPr/>
            <w:r>
              <w:br/>
            </w:r>
            <w:r>
              <w:t xml:space="preserve"> 3,73,700.00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15.00 %</w:t>
            </w:r>
          </w:p>
        </w:tc>
        <w:tc>
          <w:tcPr>
            <w:tcW w:w="2310" w:type="auto"/>
            <w:vAlign w:val="center"/>
          </w:tcPr>
          <w:p>
            <w:pPr/>
            <w:r>
              <w:br/>
            </w:r>
            <w:r>
              <w:t xml:space="preserve"> 2,77,500.00</w:t>
            </w:r>
          </w:p>
        </w:tc>
        <w:tc>
          <w:tcPr>
            <w:tcW w:w="2310" w:type="auto"/>
            <w:vAlign w:val="center"/>
          </w:tcPr>
          <w:p>
            <w:pPr/>
            <w:r>
              <w:br/>
            </w:r>
            <w:r>
              <w:t xml:space="preserve"> 1,387.50</w:t>
            </w:r>
          </w:p>
        </w:tc>
        <w:tc>
          <w:tcPr>
            <w:tcW w:w="2310" w:type="auto"/>
            <w:vAlign w:val="center"/>
          </w:tcPr>
          <w:p>
            <w:pPr/>
            <w:r>
              <w:br/>
            </w:r>
            <w:r>
              <w:t xml:space="preserve"> 1,387.50</w:t>
            </w:r>
          </w:p>
        </w:tc>
        <w:tc>
          <w:tcPr>
            <w:tcW w:w="2310" w:type="auto"/>
            <w:vAlign w:val="center"/>
          </w:tcPr>
          <w:p>
            <w:pPr/>
            <w:r>
              <w:br/>
            </w:r>
            <w:r>
              <w:t xml:space="preserve"> 2,80,275.00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92,500.00</w:t>
            </w:r>
          </w:p>
        </w:tc>
        <w:tc>
          <w:tcPr>
            <w:tcW w:w="2310" w:type="auto"/>
            <w:vAlign w:val="center"/>
          </w:tcPr>
          <w:p>
            <w:pPr/>
            <w:r>
              <w:br/>
            </w:r>
            <w:r>
              <w:t xml:space="preserve"> 462.50</w:t>
            </w:r>
          </w:p>
        </w:tc>
        <w:tc>
          <w:tcPr>
            <w:tcW w:w="2310" w:type="auto"/>
            <w:vAlign w:val="center"/>
          </w:tcPr>
          <w:p>
            <w:pPr/>
            <w:r>
              <w:br/>
            </w:r>
            <w:r>
              <w:t xml:space="preserve"> 462.50</w:t>
            </w:r>
          </w:p>
        </w:tc>
        <w:tc>
          <w:tcPr>
            <w:tcW w:w="2310" w:type="auto"/>
            <w:vAlign w:val="center"/>
          </w:tcPr>
          <w:p>
            <w:pPr/>
            <w:r>
              <w:br/>
            </w:r>
            <w:r>
              <w:t xml:space="preserve"> 93,425.00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18,50,000.00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18,68,500.00</w:t>
            </w:r>
          </w:p>
        </w:tc>
      </w:tr>
      <w:tr>
        <w:tc>
          <w:tcPr>
            <w:tcW w:w="2310" w:type="auto"/>
            <w:vAlign w:val="center"/>
          </w:tcPr>
          <w:p>
            <w:pPr/>
            <w:r>
              <w:br/>
            </w:r>
            <w:r>
              <w:t>8</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18,84,000.00</w:t>
            </w:r>
          </w:p>
        </w:tc>
        <w:tc>
          <w:tcPr>
            <w:tcW w:w="2310" w:type="auto"/>
            <w:vAlign w:val="center"/>
          </w:tcPr>
          <w:p>
            <w:pPr/>
            <w:r>
              <w:br/>
            </w:r>
            <w:r>
              <w:t xml:space="preserve"> 9,250.00</w:t>
            </w:r>
          </w:p>
        </w:tc>
        <w:tc>
          <w:tcPr>
            <w:tcW w:w="2310" w:type="auto"/>
            <w:vAlign w:val="center"/>
          </w:tcPr>
          <w:p>
            <w:pPr/>
            <w:r>
              <w:br/>
            </w:r>
            <w:r>
              <w:t xml:space="preserve"> 9,250.00</w:t>
            </w:r>
          </w:p>
        </w:tc>
        <w:tc>
          <w:tcPr>
            <w:tcW w:w="2310" w:type="auto"/>
            <w:vAlign w:val="center"/>
          </w:tcPr>
          <w:p>
            <w:pPr/>
            <w:r>
              <w:br/>
            </w:r>
            <w:r>
              <w:t xml:space="preserve"> 19,02,500.00</w:t>
            </w:r>
          </w:p>
        </w:tc>
      </w:tr>
    </w:tbl>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w:t>
      </w:r>
      <w:r>
        <w:rPr>
          <w:rFonts w:asciiTheme="majorHAnsi" w:hAnsiTheme="majorHAnsi" w:cstheme="majorHAnsi"/>
          <w:b/>
          <w:sz w:val="20"/>
          <w:szCs w:val="20"/>
        </w:rPr>
        <w:t>C-45</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Pr>
          <w:rFonts w:asciiTheme="majorHAnsi" w:hAnsiTheme="majorHAnsi" w:cstheme="majorHAnsi"/>
          <w:b/>
          <w:sz w:val="20"/>
          <w:szCs w:val="20"/>
        </w:rPr>
        <w:t>C-45</w:t>
      </w:r>
      <w:r w:rsidRPr="0046755F">
        <w:rPr>
          <w:rFonts w:asciiTheme="majorHAnsi" w:hAnsiTheme="majorHAnsi" w:cstheme="majorHAnsi"/>
          <w:sz w:val="20"/>
          <w:szCs w:val="20"/>
        </w:rPr>
        <w:t xml:space="preserve"> having carpet area of </w:t>
      </w:r>
      <w:r>
        <w:rPr>
          <w:rFonts w:asciiTheme="majorHAnsi" w:hAnsiTheme="majorHAnsi" w:cstheme="majorHAnsi"/>
          <w:b/>
          <w:sz w:val="20"/>
          <w:szCs w:val="20"/>
        </w:rPr>
        <w:t xml:space="preserve"> 301.62</w:t>
      </w:r>
      <w:r w:rsidRPr="0046755F">
        <w:rPr>
          <w:rFonts w:asciiTheme="majorHAnsi" w:hAnsiTheme="majorHAnsi" w:cstheme="majorHAnsi"/>
          <w:b/>
          <w:sz w:val="20"/>
          <w:szCs w:val="20"/>
        </w:rPr>
        <w:t xml:space="preserve"> </w:t>
      </w:r>
      <w:r w:rsidRPr="0046755F">
        <w:rPr>
          <w:rFonts w:asciiTheme="majorHAnsi" w:hAnsiTheme="majorHAnsi" w:cstheme="majorHAnsi"/>
          <w:spacing w:val="-1"/>
          <w:sz w:val="20"/>
          <w:szCs w:val="20"/>
        </w:rPr>
        <w:t xml:space="preserve">square feet, type </w:t>
      </w:r>
      <w:r>
        <w:rPr>
          <w:rFonts w:asciiTheme="majorHAnsi" w:hAnsiTheme="majorHAnsi" w:cstheme="majorHAnsi"/>
          <w:b/>
          <w:sz w:val="20"/>
          <w:szCs w:val="20"/>
        </w:rPr>
        <w:t>1BHK</w:t>
      </w:r>
      <w:r w:rsidRPr="0046755F">
        <w:rPr>
          <w:rFonts w:asciiTheme="majorHAnsi" w:hAnsiTheme="majorHAnsi" w:cstheme="majorHAnsi"/>
          <w:sz w:val="20"/>
          <w:szCs w:val="20"/>
        </w:rPr>
        <w:t xml:space="preserve"> </w:t>
      </w:r>
      <w:proofErr w:type="spellStart"/>
      <w:proofErr w:type="spellEnd"/>
      <w:r>
        <w:rPr>
          <w:rFonts w:asciiTheme="majorHAnsi" w:hAnsiTheme="majorHAnsi" w:cstheme="majorHAnsi"/>
          <w:b/>
          <w:sz w:val="20"/>
          <w:szCs w:val="20"/>
        </w:rPr>
        <w:t>Simplex Villa</w:t>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w:t>
      </w:r>
      <w:r>
        <w:rPr>
          <w:rFonts w:asciiTheme="majorHAnsi" w:hAnsiTheme="majorHAnsi" w:cstheme="majorHAnsi"/>
          <w:b/>
          <w:sz w:val="20"/>
          <w:szCs w:val="20"/>
        </w:rPr>
        <w:t>Ground Floor GF</w:t>
      </w:r>
      <w:r w:rsidRPr="0046755F">
        <w:rPr>
          <w:rFonts w:asciiTheme="majorHAnsi" w:hAnsiTheme="majorHAnsi" w:cstheme="majorHAnsi"/>
          <w:spacing w:val="-3"/>
          <w:sz w:val="20"/>
          <w:szCs w:val="20"/>
        </w:rPr>
        <w:t xml:space="preserve"> in </w:t>
      </w:r>
      <w:r>
        <w:rPr>
          <w:rFonts w:asciiTheme="majorHAnsi" w:hAnsiTheme="majorHAnsi" w:cstheme="majorHAnsi"/>
          <w:b/>
          <w:sz w:val="20"/>
          <w:szCs w:val="20"/>
        </w:rPr>
        <w:t>SHUBHASHRAY VILAS PHASE III</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a9377da4-a611-48a8-a563-5db34f7959bf"/>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CF27EF3A-2E1D-40CF-AD33-7B812D57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14948</Words>
  <Characters>85204</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28</cp:revision>
  <cp:lastPrinted>2025-02-12T01:46:00Z</cp:lastPrinted>
  <dcterms:created xsi:type="dcterms:W3CDTF">2025-04-11T05:58:00Z</dcterms:created>
  <dcterms:modified xsi:type="dcterms:W3CDTF">2025-04-14T05:24:00Z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