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28-04-2025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C-2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VILAS PHASE III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Neemrana, Village-Kundansinghpura, Alwar-301705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24,40,160.00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Twenty Four Lakh Forty Thousand One Hundred Sixty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28-04-2025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Mrs.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Geeta Devi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4,88,032.00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Four Lakh Eighty Eight Thousand Thirty Two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C-2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Neemrana, Village-Kundansinghpura, Alwar-301705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