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06-06-2025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Anjali Rauniyar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Rajesh Jain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Mahuapatan Ghat Mahuapatan, Deoria, Kushahari Uttar Pradesh, 274001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332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VATIKA PHASE II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6,53,975.00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Six Lakh Fifty Three Thousand Nine Hundred Seventy Five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332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VATIKA PHASE II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08 Sep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332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DEVELOPERS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DEVELOPERS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