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Sunita Jain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166, Patel Nagar, Goner Road, Near, Chokhi Dhani, jaipur,PO: Sitapura, Industrial Area, Distt: Jaipur, Rajasthan-302022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211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10/02/2025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2,87,850.00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Two Lakh Eighty Seven Thousand Eight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211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 Sep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211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