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01-05-2025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Sindu Jain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No.9 Plot No. D-88/16, Street No.6, Behind B.M. Bharti Model School, Rama Vihar, Mohammad Pur Majri, North West Delhi, Delhi- 110081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K-302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04/04/2025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7,97,671.00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Seven Lakh Ninety Seven Thousand Six Hundred Seventy One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K-302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 Dec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