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17-04-2025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Nikita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Magadh Colony Kurji Gandhi Maidan, Near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P.M Mall, Sadaquat Ashram, Kurji More, Korji, Patna, Bihar-801105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M-205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07/01/2025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5,17,625.00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Five Lakh Seventeen Thousand Six Hundred Twenty Five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M-205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06 Jul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