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Mrs.</w:t>
      </w:r>
      <w:r>
        <w:rPr>
          <w:rFonts w:asciiTheme="majorHAnsi" w:hAnsiTheme="majorHAnsi" w:cstheme="majorHAnsi"/>
          <w:b/>
          <w:sz w:val="18"/>
          <w:szCs w:val="18"/>
        </w:rPr>
        <w:t>Karishma Semwal</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C/o-Aditya Semwal</w:t>
      </w:r>
      <w:r w:rsidRPr="00010ECE">
        <w:rPr>
          <w:rFonts w:asciiTheme="majorHAnsi" w:hAnsiTheme="majorHAnsi" w:cstheme="majorHAnsi"/>
          <w:sz w:val="18"/>
          <w:szCs w:val="18"/>
        </w:rPr>
        <w:t xml:space="preserve"> R/o </w:t>
      </w:r>
      <w:r>
        <w:rPr>
          <w:rFonts w:asciiTheme="majorHAnsi" w:hAnsiTheme="majorHAnsi" w:cstheme="majorHAnsi"/>
          <w:b/>
          <w:sz w:val="18"/>
          <w:szCs w:val="18"/>
        </w:rPr>
        <w:t>J-78 F. Floor Mayfield Garden, Sector-51, Gurgaon, Gurgaon, Haryana-122003</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249052124058</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CMVPM6174J</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Aditya Semwal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365904508756</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FBLPS6764Q</w:t>
      </w:r>
      <w:r w:rsidRPr="00010ECE">
        <w:rPr>
          <w:rFonts w:asciiTheme="majorHAnsi" w:hAnsiTheme="majorHAnsi" w:cstheme="majorHAnsi"/>
          <w:sz w:val="18"/>
          <w:szCs w:val="18"/>
        </w:rPr>
        <w:t xml:space="preserve"> R/o </w:t>
      </w:r>
      <w:r>
        <w:rPr>
          <w:rFonts w:asciiTheme="majorHAnsi" w:hAnsiTheme="majorHAnsi" w:cstheme="majorHAnsi"/>
          <w:b/>
          <w:sz w:val="18"/>
          <w:szCs w:val="18"/>
        </w:rPr>
        <w:t>J-78 F. Floor Mayfield Garden, Sector-51, Gurgaon, Haryana-122003</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B-83-FF</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09-09-2024</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B-83-FF</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658.21</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3BHK+Study</w:t>
      </w:r>
      <w:r w:rsidRPr="00010ECE">
        <w:rPr>
          <w:rFonts w:asciiTheme="majorHAnsi" w:hAnsiTheme="majorHAnsi" w:cstheme="majorHAnsi"/>
          <w:sz w:val="18"/>
          <w:szCs w:val="18"/>
        </w:rPr>
        <w:t xml:space="preserve"> on </w:t>
      </w:r>
      <w:r>
        <w:rPr>
          <w:rFonts w:asciiTheme="majorHAnsi" w:hAnsiTheme="majorHAnsi" w:cstheme="majorHAnsi"/>
          <w:b/>
          <w:sz w:val="18"/>
          <w:szCs w:val="18"/>
        </w:rPr>
        <w:t>01 - First Floor</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+Study</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09-09-2024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09-09-2024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2,52,500.00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Fifty Two Thousand Five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09-09-2024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30,000.00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Thirty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B-83-FF</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25,25,000.00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Twenty Five Lakh Twenty Five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2,52,500.00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Fifty Two Thousand Five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2,52,500.00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Fifty Two Thousand Five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25,25,000.00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Twenty Five Lakh Twenty Five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22,72,500.00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Twenty Two Lakh Seventy Two Thousand Five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2,52,500.00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Fifty Two Thousand Five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30,000.00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Thirty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Mrs.</w:t>
            </w:r>
            <w:r>
              <w:rPr>
                <w:rFonts w:asciiTheme="majorHAnsi" w:hAnsiTheme="majorHAnsi" w:cstheme="majorHAnsi"/>
                <w:b/>
                <w:sz w:val="18"/>
                <w:szCs w:val="18"/>
              </w:rPr>
              <w:t>Karishma Semwal</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w:t>
            </w:r>
            <w:r>
              <w:rPr>
                <w:rFonts w:asciiTheme="majorHAnsi" w:hAnsiTheme="majorHAnsi" w:cstheme="majorHAnsi"/>
                <w:b/>
                <w:sz w:val="18"/>
                <w:szCs w:val="18"/>
              </w:rPr>
              <w:t>Aditya Semwal</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J-78 F. Floor Mayfield Garden, Sector-51, Gurgaon, Gurgaon, Haryana-122003</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Karishma Semwal</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Aditya Semwal</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+Study</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B-83-FF</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3BHK+Study</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01 - First Floor</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3,798.18</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25,00,000.00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25,000.00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25,25,000.00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30,000.00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9,000.00</w:t>
            </w: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25,64,000.00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2,50,000.00</w:t>
            </w:r>
          </w:p>
        </w:tc>
        <w:tc>
          <w:tcPr>
            <w:tcW w:w="2310" w:type="auto"/>
            <w:vAlign w:val="center"/>
          </w:tcPr>
          <w:p>
            <w:pPr/>
            <w:r>
              <w:br/>
            </w:r>
            <w:r>
              <w:t xml:space="preserve"> 1,250.00</w:t>
            </w:r>
          </w:p>
        </w:tc>
        <w:tc>
          <w:tcPr>
            <w:tcW w:w="2310" w:type="auto"/>
            <w:vAlign w:val="center"/>
          </w:tcPr>
          <w:p>
            <w:pPr/>
            <w:r>
              <w:br/>
            </w:r>
            <w:r>
              <w:t xml:space="preserve"> 1,250.00</w:t>
            </w:r>
          </w:p>
        </w:tc>
        <w:tc>
          <w:tcPr>
            <w:tcW w:w="2310" w:type="auto"/>
            <w:vAlign w:val="center"/>
          </w:tcPr>
          <w:p>
            <w:pPr/>
            <w:r>
              <w:br/>
            </w:r>
            <w:r>
              <w:t xml:space="preserve"> 2,52,500.00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5,00,000.00</w:t>
            </w:r>
          </w:p>
        </w:tc>
        <w:tc>
          <w:tcPr>
            <w:tcW w:w="2310" w:type="auto"/>
            <w:vAlign w:val="center"/>
          </w:tcPr>
          <w:p>
            <w:pPr/>
            <w:r>
              <w:br/>
            </w:r>
            <w:r>
              <w:t xml:space="preserve"> 2,500.00</w:t>
            </w:r>
          </w:p>
        </w:tc>
        <w:tc>
          <w:tcPr>
            <w:tcW w:w="2310" w:type="auto"/>
            <w:vAlign w:val="center"/>
          </w:tcPr>
          <w:p>
            <w:pPr/>
            <w:r>
              <w:br/>
            </w:r>
            <w:r>
              <w:t xml:space="preserve"> 2,500.00</w:t>
            </w:r>
          </w:p>
        </w:tc>
        <w:tc>
          <w:tcPr>
            <w:tcW w:w="2310" w:type="auto"/>
            <w:vAlign w:val="center"/>
          </w:tcPr>
          <w:p>
            <w:pPr/>
            <w:r>
              <w:br/>
            </w:r>
            <w:r>
              <w:t xml:space="preserve"> 5,05,000.00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3,75,000.00</w:t>
            </w:r>
          </w:p>
        </w:tc>
        <w:tc>
          <w:tcPr>
            <w:tcW w:w="2310" w:type="auto"/>
            <w:vAlign w:val="center"/>
          </w:tcPr>
          <w:p>
            <w:pPr/>
            <w:r>
              <w:br/>
            </w:r>
            <w:r>
              <w:t xml:space="preserve"> 1,875.00</w:t>
            </w:r>
          </w:p>
        </w:tc>
        <w:tc>
          <w:tcPr>
            <w:tcW w:w="2310" w:type="auto"/>
            <w:vAlign w:val="center"/>
          </w:tcPr>
          <w:p>
            <w:pPr/>
            <w:r>
              <w:br/>
            </w:r>
            <w:r>
              <w:t xml:space="preserve"> 1,875.00</w:t>
            </w:r>
          </w:p>
        </w:tc>
        <w:tc>
          <w:tcPr>
            <w:tcW w:w="2310" w:type="auto"/>
            <w:vAlign w:val="center"/>
          </w:tcPr>
          <w:p>
            <w:pPr/>
            <w:r>
              <w:br/>
            </w:r>
            <w:r>
              <w:t xml:space="preserve"> 3,78,750.00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1,25,000.00</w:t>
            </w:r>
          </w:p>
        </w:tc>
        <w:tc>
          <w:tcPr>
            <w:tcW w:w="2310" w:type="auto"/>
            <w:vAlign w:val="center"/>
          </w:tcPr>
          <w:p>
            <w:pPr/>
            <w:r>
              <w:br/>
            </w:r>
            <w:r>
              <w:t xml:space="preserve"> 625.00</w:t>
            </w:r>
          </w:p>
        </w:tc>
        <w:tc>
          <w:tcPr>
            <w:tcW w:w="2310" w:type="auto"/>
            <w:vAlign w:val="center"/>
          </w:tcPr>
          <w:p>
            <w:pPr/>
            <w:r>
              <w:br/>
            </w:r>
            <w:r>
              <w:t xml:space="preserve"> 625.00</w:t>
            </w:r>
          </w:p>
        </w:tc>
        <w:tc>
          <w:tcPr>
            <w:tcW w:w="2310" w:type="auto"/>
            <w:vAlign w:val="center"/>
          </w:tcPr>
          <w:p>
            <w:pPr/>
            <w:r>
              <w:br/>
            </w:r>
            <w:r>
              <w:t xml:space="preserve"> 1,26,250.00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25,00,000.00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25,25,000.00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30,000.00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30,000.00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25,39,000.00</w:t>
            </w:r>
          </w:p>
        </w:tc>
        <w:tc>
          <w:tcPr>
            <w:tcW w:w="2310" w:type="auto"/>
            <w:vAlign w:val="center"/>
          </w:tcPr>
          <w:p>
            <w:pPr/>
            <w:r>
              <w:br/>
            </w:r>
            <w:r>
              <w:t xml:space="preserve"> 12,500.00</w:t>
            </w:r>
          </w:p>
        </w:tc>
        <w:tc>
          <w:tcPr>
            <w:tcW w:w="2310" w:type="auto"/>
            <w:vAlign w:val="center"/>
          </w:tcPr>
          <w:p>
            <w:pPr/>
            <w:r>
              <w:br/>
            </w:r>
            <w:r>
              <w:t xml:space="preserve"> 12,500.00</w:t>
            </w:r>
          </w:p>
        </w:tc>
        <w:tc>
          <w:tcPr>
            <w:tcW w:w="2310" w:type="auto"/>
            <w:vAlign w:val="center"/>
          </w:tcPr>
          <w:p>
            <w:pPr/>
            <w:r>
              <w:br/>
            </w:r>
            <w:r>
              <w:t xml:space="preserve"> 25,64,000.00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B-83-FF</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B-83-FF</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658.21</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3BHK+Study</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+Study</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