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Anant Jolly</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C/o- Jitendra M Jolly</w:t>
      </w:r>
      <w:r w:rsidRPr="00010ECE">
        <w:rPr>
          <w:rFonts w:asciiTheme="majorHAnsi" w:hAnsiTheme="majorHAnsi" w:cstheme="majorHAnsi"/>
          <w:sz w:val="18"/>
          <w:szCs w:val="18"/>
        </w:rPr>
        <w:t xml:space="preserve"> R/o </w:t>
      </w:r>
      <w:r>
        <w:rPr>
          <w:rFonts w:asciiTheme="majorHAnsi" w:hAnsiTheme="majorHAnsi" w:cstheme="majorHAnsi"/>
          <w:b/>
          <w:sz w:val="18"/>
          <w:szCs w:val="18"/>
        </w:rPr>
        <w:t>Flat No-1001 F Tower, Besteck Part View City-2, Vpo-Badshahpur, Sector-49, South City-II, Gurgaon Haryana-122018</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955951908447</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AGZPJ3267D</w:t>
      </w:r>
      <w:r w:rsidRPr="00010ECE">
        <w:rPr>
          <w:rFonts w:asciiTheme="majorHAnsi" w:hAnsiTheme="majorHAnsi" w:cstheme="majorHAnsi"/>
          <w:sz w:val="18"/>
          <w:szCs w:val="18"/>
        </w:rPr>
        <w:t xml:space="preserve"> and Co-applicant </w:t>
      </w:r>
      <w:r w:rsidRPr="00010ECE">
        <w:rPr>
          <w:rFonts w:asciiTheme="majorHAnsi" w:hAnsiTheme="majorHAnsi" w:cstheme="majorHAnsi"/>
          <w:sz w:val="18"/>
          <w:szCs w:val="18"/>
        </w:rPr>
        <w:t xml:space="preserve"> bearing Aadhar No. </w:t>
      </w:r>
      <w:r w:rsidRPr="00010ECE">
        <w:rPr>
          <w:rFonts w:asciiTheme="majorHAnsi" w:hAnsiTheme="majorHAnsi" w:cstheme="majorHAnsi"/>
          <w:sz w:val="18"/>
          <w:szCs w:val="18"/>
        </w:rPr>
        <w:t xml:space="preserve">, and PAN No. </w:t>
      </w:r>
      <w:r w:rsidRPr="00010ECE">
        <w:rPr>
          <w:rFonts w:asciiTheme="majorHAnsi" w:hAnsiTheme="majorHAnsi" w:cstheme="majorHAnsi"/>
          <w:sz w:val="18"/>
          <w:szCs w:val="18"/>
        </w:rPr>
        <w:t xml:space="preserve"> R/o </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B-92-FF</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08-01-2024</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B-92-FF</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658.21</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3BHK+Study</w:t>
      </w:r>
      <w:r w:rsidRPr="00010ECE">
        <w:rPr>
          <w:rFonts w:asciiTheme="majorHAnsi" w:hAnsiTheme="majorHAnsi" w:cstheme="majorHAnsi"/>
          <w:sz w:val="18"/>
          <w:szCs w:val="18"/>
        </w:rPr>
        <w:t xml:space="preserve"> on </w:t>
      </w:r>
      <w:r>
        <w:rPr>
          <w:rFonts w:asciiTheme="majorHAnsi" w:hAnsiTheme="majorHAnsi" w:cstheme="majorHAnsi"/>
          <w:b/>
          <w:sz w:val="18"/>
          <w:szCs w:val="18"/>
        </w:rPr>
        <w:t>01 - First Floor</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Duplex +Study</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08-01-2024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08-01-2024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2,52,500.00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Fifty Two Thousand Five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08-01-2024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30,000.00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Thirty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B-92-FF</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25,25,000.00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Twenty Five Lakh Twenty Five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2,52,500.00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Fifty Two Thousand Five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2,52,500.00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Fifty Two Thousand Five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25,25,000.00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Twenty Five Lakh Twenty Five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22,72,500.00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Twenty Two Lakh Seventy Two Thousand Five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2,52,500.00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Fifty Two Thousand Five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30,000.00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Thirty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Anant Jolly</w:t>
            </w:r>
            <w:r w:rsidRPr="00010ECE">
              <w:rPr>
                <w:rFonts w:asciiTheme="majorHAnsi" w:hAnsiTheme="majorHAnsi" w:cstheme="majorHAnsi"/>
                <w:spacing w:val="-4"/>
                <w:sz w:val="18"/>
                <w:szCs w:val="18"/>
              </w:rPr>
              <w:t xml:space="preserve">&amp; Co-applicant </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Flat No-1001 F Tower, Besteck Part View City-2, Vpo-Badshahpur, Sector-49, South City-II, Gurgaon Haryana-122018</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Anant Jolly</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Duplex +Study</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B-92-FF</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3BHK+Study</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01 - First Floor</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3,798.18</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25,00,000.00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25,000.00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25,25,000.00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30,000.00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9,000.00</w:t>
            </w:r>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25,64,000.00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2,50,000.00</w:t>
            </w:r>
          </w:p>
        </w:tc>
        <w:tc>
          <w:tcPr>
            <w:tcW w:w="2310" w:type="auto"/>
            <w:vAlign w:val="center"/>
          </w:tcPr>
          <w:p>
            <w:pPr/>
            <w:r>
              <w:br/>
            </w:r>
            <w:r>
              <w:t xml:space="preserve"> 1,250.00</w:t>
            </w:r>
          </w:p>
        </w:tc>
        <w:tc>
          <w:tcPr>
            <w:tcW w:w="2310" w:type="auto"/>
            <w:vAlign w:val="center"/>
          </w:tcPr>
          <w:p>
            <w:pPr/>
            <w:r>
              <w:br/>
            </w:r>
            <w:r>
              <w:t xml:space="preserve"> 1,250.00</w:t>
            </w:r>
          </w:p>
        </w:tc>
        <w:tc>
          <w:tcPr>
            <w:tcW w:w="2310" w:type="auto"/>
            <w:vAlign w:val="center"/>
          </w:tcPr>
          <w:p>
            <w:pPr/>
            <w:r>
              <w:br/>
            </w:r>
            <w:r>
              <w:t xml:space="preserve"> 2,52,500.00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2,50,000.00</w:t>
            </w:r>
          </w:p>
        </w:tc>
        <w:tc>
          <w:tcPr>
            <w:tcW w:w="2310" w:type="auto"/>
            <w:vAlign w:val="center"/>
          </w:tcPr>
          <w:p>
            <w:pPr/>
            <w:r>
              <w:br/>
            </w:r>
            <w:r>
              <w:t xml:space="preserve"> 1,250.00</w:t>
            </w:r>
          </w:p>
        </w:tc>
        <w:tc>
          <w:tcPr>
            <w:tcW w:w="2310" w:type="auto"/>
            <w:vAlign w:val="center"/>
          </w:tcPr>
          <w:p>
            <w:pPr/>
            <w:r>
              <w:br/>
            </w:r>
            <w:r>
              <w:t xml:space="preserve"> 1,250.00</w:t>
            </w:r>
          </w:p>
        </w:tc>
        <w:tc>
          <w:tcPr>
            <w:tcW w:w="2310" w:type="auto"/>
            <w:vAlign w:val="center"/>
          </w:tcPr>
          <w:p>
            <w:pPr/>
            <w:r>
              <w:br/>
            </w:r>
            <w:r>
              <w:t xml:space="preserve"> 2,52,500.00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3,75,000.00</w:t>
            </w:r>
          </w:p>
        </w:tc>
        <w:tc>
          <w:tcPr>
            <w:tcW w:w="2310" w:type="auto"/>
            <w:vAlign w:val="center"/>
          </w:tcPr>
          <w:p>
            <w:pPr/>
            <w:r>
              <w:br/>
            </w:r>
            <w:r>
              <w:t xml:space="preserve"> 1,875.00</w:t>
            </w:r>
          </w:p>
        </w:tc>
        <w:tc>
          <w:tcPr>
            <w:tcW w:w="2310" w:type="auto"/>
            <w:vAlign w:val="center"/>
          </w:tcPr>
          <w:p>
            <w:pPr/>
            <w:r>
              <w:br/>
            </w:r>
            <w:r>
              <w:t xml:space="preserve"> 1,875.00</w:t>
            </w:r>
          </w:p>
        </w:tc>
        <w:tc>
          <w:tcPr>
            <w:tcW w:w="2310" w:type="auto"/>
            <w:vAlign w:val="center"/>
          </w:tcPr>
          <w:p>
            <w:pPr/>
            <w:r>
              <w:br/>
            </w:r>
            <w:r>
              <w:t xml:space="preserve"> 3,78,750.00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1,25,000.00</w:t>
            </w:r>
          </w:p>
        </w:tc>
        <w:tc>
          <w:tcPr>
            <w:tcW w:w="2310" w:type="auto"/>
            <w:vAlign w:val="center"/>
          </w:tcPr>
          <w:p>
            <w:pPr/>
            <w:r>
              <w:br/>
            </w:r>
            <w:r>
              <w:t xml:space="preserve"> 625.00</w:t>
            </w:r>
          </w:p>
        </w:tc>
        <w:tc>
          <w:tcPr>
            <w:tcW w:w="2310" w:type="auto"/>
            <w:vAlign w:val="center"/>
          </w:tcPr>
          <w:p>
            <w:pPr/>
            <w:r>
              <w:br/>
            </w:r>
            <w:r>
              <w:t xml:space="preserve"> 625.00</w:t>
            </w:r>
          </w:p>
        </w:tc>
        <w:tc>
          <w:tcPr>
            <w:tcW w:w="2310" w:type="auto"/>
            <w:vAlign w:val="center"/>
          </w:tcPr>
          <w:p>
            <w:pPr/>
            <w:r>
              <w:br/>
            </w:r>
            <w:r>
              <w:t xml:space="preserve"> 1,26,250.00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25,00,000.00</w:t>
            </w:r>
          </w:p>
        </w:tc>
        <w:tc>
          <w:tcPr>
            <w:tcW w:w="2310" w:type="auto"/>
            <w:vAlign w:val="center"/>
          </w:tcPr>
          <w:p>
            <w:pPr/>
            <w:r>
              <w:br/>
            </w:r>
            <w:r>
              <w:t xml:space="preserve"> 12,500.00</w:t>
            </w:r>
          </w:p>
        </w:tc>
        <w:tc>
          <w:tcPr>
            <w:tcW w:w="2310" w:type="auto"/>
            <w:vAlign w:val="center"/>
          </w:tcPr>
          <w:p>
            <w:pPr/>
            <w:r>
              <w:br/>
            </w:r>
            <w:r>
              <w:t xml:space="preserve"> 12,500.00</w:t>
            </w:r>
          </w:p>
        </w:tc>
        <w:tc>
          <w:tcPr>
            <w:tcW w:w="2310" w:type="auto"/>
            <w:vAlign w:val="center"/>
          </w:tcPr>
          <w:p>
            <w:pPr/>
            <w:r>
              <w:br/>
            </w:r>
            <w:r>
              <w:t xml:space="preserve"> 25,25,000.00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25,39,000.00</w:t>
            </w:r>
          </w:p>
        </w:tc>
        <w:tc>
          <w:tcPr>
            <w:tcW w:w="2310" w:type="auto"/>
            <w:vAlign w:val="center"/>
          </w:tcPr>
          <w:p>
            <w:pPr/>
            <w:r>
              <w:br/>
            </w:r>
            <w:r>
              <w:t xml:space="preserve"> 12,500.00</w:t>
            </w:r>
          </w:p>
        </w:tc>
        <w:tc>
          <w:tcPr>
            <w:tcW w:w="2310" w:type="auto"/>
            <w:vAlign w:val="center"/>
          </w:tcPr>
          <w:p>
            <w:pPr/>
            <w:r>
              <w:br/>
            </w:r>
            <w:r>
              <w:t xml:space="preserve"> 12,500.00</w:t>
            </w:r>
          </w:p>
        </w:tc>
        <w:tc>
          <w:tcPr>
            <w:tcW w:w="2310" w:type="auto"/>
            <w:vAlign w:val="center"/>
          </w:tcPr>
          <w:p>
            <w:pPr/>
            <w:r>
              <w:br/>
            </w:r>
            <w:r>
              <w:t xml:space="preserve"> 25,64,000.00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B-92-FF</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B-92-FF</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658.21</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3BHK+Study</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Duplex +Study</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