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Anish kumar chaudhary</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Randhir Chaudhary</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House No. G-475, Phase 6, Aya Nagar, South Delhi, Delhi-110047</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972406509094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AJAPC1019N</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J-301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TOWER-J</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49023447"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23-05-2024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J-301</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354.45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floor in </w:t>
      </w:r>
      <w:r>
        <w:rPr>
          <w:rFonts w:asciiTheme="minorHAnsi" w:hAnsiTheme="minorHAnsi" w:cstheme="minorHAnsi"/>
          <w:b/>
          <w:sz w:val="22"/>
          <w:szCs w:val="22"/>
        </w:rPr>
        <w:t>TOWER-J</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23-05-2024</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23-05-2024</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1,11,100.00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Eleven Thousand One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23-05-2024</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J-301</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11,11,000.00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Eleven Lakh Eleven Thousand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1,11,100.00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Eleven Thousand One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1,11,100.00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Eleven Thousand One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11,11,000.00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Eleven Lakh Eleven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9,99,900.00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Nine Lakh Ninety Nine Thousand Nine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1,11,100.00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Eleven Thousand One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Anish kumar chaudhary</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House No. G-475, Phase 6, Aya Nagar, South Delhi, Delhi-110047</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kumaranish0756@gmail.com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Anish kumar chaudhary</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lang w:eastAsia="en-IN"/>
              </w:rPr>
              <w:t>J-301</w:t>
            </w:r>
          </w:p>
          <w:p w14:paraId="746E95EF" w14:textId="7B2BB171" w:rsidR="00D00CA7" w:rsidRPr="00E81E42" w:rsidRDefault="00D00CA7" w:rsidP="00E81E42">
            <w:pPr>
              <w:spacing w:before="33"/>
              <w:rPr>
                <w:rFonts w:eastAsia="Times New Roman" w:cstheme="minorHAnsi"/>
                <w:lang w:val="en-US" w:eastAsia="en-IN"/>
              </w:rPr>
            </w:pPr>
            <w:r w:rsidRPr="00E81E42">
              <w:rPr>
                <w:rFonts w:eastAsia="Times New Roman" w:cstheme="minorHAnsi"/>
                <w:lang w:val="en-US" w:eastAsia="en-IN"/>
              </w:rPr>
              <w:t xml:space="preserve">Type </w:t>
            </w:r>
            <w:r>
              <w:rPr>
                <w:rFonts w:eastAsia="Times New Roman" w:cstheme="minorHAnsi"/>
                <w:lang w:val="en-US" w:eastAsia="en-IN"/>
              </w:rPr>
              <w:t>2BHK</w:t>
            </w:r>
          </w:p>
          <w:p w14:paraId="0F700D16" w14:textId="77777777" w:rsidR="00525098" w:rsidRPr="00E81E42" w:rsidRDefault="00D00CA7"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Floor </w:t>
            </w:r>
            <w:r>
              <w:rPr>
                <w:rFonts w:eastAsia="Times New Roman" w:cstheme="minorHAnsi"/>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7678D027"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Pr>
                <w:rFonts w:eastAsia="Times New Roman" w:cstheme="minorHAnsi"/>
                <w:lang w:val="en-US" w:eastAsia="en-IN"/>
              </w:rPr>
              <w:t>TOWER-J</w:t>
            </w:r>
            <w:r w:rsidRPr="00E81E42">
              <w:rPr>
                <w:rFonts w:eastAsia="Times New Roman" w:cstheme="minorHAnsi"/>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E81E42" w:rsidRDefault="00E81E42" w:rsidP="00525098">
            <w:pPr>
              <w:spacing w:after="0" w:line="240" w:lineRule="auto"/>
              <w:jc w:val="both"/>
              <w:textAlignment w:val="baseline"/>
              <w:rPr>
                <w:rFonts w:eastAsia="Times New Roman" w:cstheme="minorHAnsi"/>
                <w:lang w:val="en-US" w:eastAsia="en-IN"/>
              </w:rPr>
            </w:pPr>
            <w:proofErr w:type="spellStart"/>
            <w:proofErr w:type="spellEnd"/>
            <w:r>
              <w:rPr>
                <w:rFonts w:eastAsia="Times New Roman" w:cstheme="minorHAnsi"/>
                <w:lang w:val="en-US" w:eastAsia="en-IN"/>
              </w:rPr>
              <w:t xml:space="preserve"> 3,103.40</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11,00,000.00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11,000.00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11,11,000.00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11,11,000.00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15,600.00</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0537BB" w:rsidRDefault="00E81E42" w:rsidP="00EF72C0">
            <w:pPr>
              <w:spacing w:after="0" w:line="240" w:lineRule="auto"/>
              <w:jc w:val="both"/>
              <w:textAlignment w:val="baseline"/>
              <w:rPr>
                <w:rFonts w:eastAsia="Times New Roman" w:cstheme="minorHAnsi"/>
                <w:lang w:eastAsia="en-IN"/>
              </w:rPr>
            </w:pPr>
            <w:proofErr w:type="spellStart"/>
            <w:proofErr w:type="spellEnd"/>
            <w:r>
              <w:rPr>
                <w:rFonts w:ascii="Calibri" w:hAnsi="Calibri" w:cs="Calibri"/>
                <w:noProof/>
                <w:color w:val="000000" w:themeColor="text1"/>
              </w:rPr>
              <w:t xml:space="preserve"> 11,51,600.00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2,20,000.00</w:t>
            </w:r>
          </w:p>
        </w:tc>
        <w:tc>
          <w:tcPr>
            <w:tcW w:w="2310" w:type="auto"/>
            <w:vAlign w:val="center"/>
          </w:tcPr>
          <w:p>
            <w:pPr/>
            <w:r>
              <w:br/>
            </w:r>
            <w:r>
              <w:t xml:space="preserve"> 1,100.00</w:t>
            </w:r>
          </w:p>
        </w:tc>
        <w:tc>
          <w:tcPr>
            <w:tcW w:w="2310" w:type="auto"/>
            <w:vAlign w:val="center"/>
          </w:tcPr>
          <w:p>
            <w:pPr/>
            <w:r>
              <w:br/>
            </w:r>
            <w:r>
              <w:t xml:space="preserve"> 1,100.00</w:t>
            </w:r>
          </w:p>
        </w:tc>
        <w:tc>
          <w:tcPr>
            <w:tcW w:w="2310" w:type="auto"/>
            <w:vAlign w:val="center"/>
          </w:tcPr>
          <w:p>
            <w:pPr/>
            <w:r>
              <w:br/>
            </w:r>
            <w:r>
              <w:t xml:space="preserve"> 2,22,200.00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1,65,000.00</w:t>
            </w:r>
          </w:p>
        </w:tc>
        <w:tc>
          <w:tcPr>
            <w:tcW w:w="2310" w:type="auto"/>
            <w:vAlign w:val="center"/>
          </w:tcPr>
          <w:p>
            <w:pPr/>
            <w:r>
              <w:br/>
            </w:r>
            <w:r>
              <w:t xml:space="preserve"> 825.00</w:t>
            </w:r>
          </w:p>
        </w:tc>
        <w:tc>
          <w:tcPr>
            <w:tcW w:w="2310" w:type="auto"/>
            <w:vAlign w:val="center"/>
          </w:tcPr>
          <w:p>
            <w:pPr/>
            <w:r>
              <w:br/>
            </w:r>
            <w:r>
              <w:t xml:space="preserve"> 825.00</w:t>
            </w:r>
          </w:p>
        </w:tc>
        <w:tc>
          <w:tcPr>
            <w:tcW w:w="2310" w:type="auto"/>
            <w:vAlign w:val="center"/>
          </w:tcPr>
          <w:p>
            <w:pPr/>
            <w:r>
              <w:br/>
            </w:r>
            <w:r>
              <w:t xml:space="preserve"> 1,66,650.00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1,65,000.00</w:t>
            </w:r>
          </w:p>
        </w:tc>
        <w:tc>
          <w:tcPr>
            <w:tcW w:w="2310" w:type="auto"/>
            <w:vAlign w:val="center"/>
          </w:tcPr>
          <w:p>
            <w:pPr/>
            <w:r>
              <w:br/>
            </w:r>
            <w:r>
              <w:t xml:space="preserve"> 825.00</w:t>
            </w:r>
          </w:p>
        </w:tc>
        <w:tc>
          <w:tcPr>
            <w:tcW w:w="2310" w:type="auto"/>
            <w:vAlign w:val="center"/>
          </w:tcPr>
          <w:p>
            <w:pPr/>
            <w:r>
              <w:br/>
            </w:r>
            <w:r>
              <w:t xml:space="preserve"> 825.00</w:t>
            </w:r>
          </w:p>
        </w:tc>
        <w:tc>
          <w:tcPr>
            <w:tcW w:w="2310" w:type="auto"/>
            <w:vAlign w:val="center"/>
          </w:tcPr>
          <w:p>
            <w:pPr/>
            <w:r>
              <w:br/>
            </w:r>
            <w:r>
              <w:t xml:space="preserve"> 1,66,650.00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1,65,000.00</w:t>
            </w:r>
          </w:p>
        </w:tc>
        <w:tc>
          <w:tcPr>
            <w:tcW w:w="2310" w:type="auto"/>
            <w:vAlign w:val="center"/>
          </w:tcPr>
          <w:p>
            <w:pPr/>
            <w:r>
              <w:br/>
            </w:r>
            <w:r>
              <w:t xml:space="preserve"> 825.00</w:t>
            </w:r>
          </w:p>
        </w:tc>
        <w:tc>
          <w:tcPr>
            <w:tcW w:w="2310" w:type="auto"/>
            <w:vAlign w:val="center"/>
          </w:tcPr>
          <w:p>
            <w:pPr/>
            <w:r>
              <w:br/>
            </w:r>
            <w:r>
              <w:t xml:space="preserve"> 825.00</w:t>
            </w:r>
          </w:p>
        </w:tc>
        <w:tc>
          <w:tcPr>
            <w:tcW w:w="2310" w:type="auto"/>
            <w:vAlign w:val="center"/>
          </w:tcPr>
          <w:p>
            <w:pPr/>
            <w:r>
              <w:br/>
            </w:r>
            <w:r>
              <w:t xml:space="preserve"> 1,66,650.00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1,10,000.00</w:t>
            </w:r>
          </w:p>
        </w:tc>
        <w:tc>
          <w:tcPr>
            <w:tcW w:w="2310" w:type="auto"/>
            <w:vAlign w:val="center"/>
          </w:tcPr>
          <w:p>
            <w:pPr/>
            <w:r>
              <w:br/>
            </w:r>
            <w:r>
              <w:t xml:space="preserve"> 550.00</w:t>
            </w:r>
          </w:p>
        </w:tc>
        <w:tc>
          <w:tcPr>
            <w:tcW w:w="2310" w:type="auto"/>
            <w:vAlign w:val="center"/>
          </w:tcPr>
          <w:p>
            <w:pPr/>
            <w:r>
              <w:br/>
            </w:r>
            <w:r>
              <w:t xml:space="preserve"> 550.00</w:t>
            </w:r>
          </w:p>
        </w:tc>
        <w:tc>
          <w:tcPr>
            <w:tcW w:w="2310" w:type="auto"/>
            <w:vAlign w:val="center"/>
          </w:tcPr>
          <w:p>
            <w:pPr/>
            <w:r>
              <w:br/>
            </w:r>
            <w:r>
              <w:t xml:space="preserve"> 1,11,100.00</w:t>
            </w:r>
          </w:p>
        </w:tc>
      </w:tr>
      <w:tr>
        <w:tc>
          <w:tcPr>
            <w:tcW w:w="2310" w:type="auto"/>
            <w:vAlign w:val="center"/>
          </w:tcPr>
          <w:p>
            <w:pPr/>
            <w:r>
              <w:br/>
            </w:r>
            <w:r>
              <w:t>8</w:t>
            </w:r>
          </w:p>
        </w:tc>
        <w:tc>
          <w:tcPr>
            <w:tcW w:w="2310" w:type="auto"/>
            <w:vAlign w:val="center"/>
          </w:tcPr>
          <w:p>
            <w:pPr/>
            <w:r>
              <w:br/>
            </w:r>
            <w:r>
              <w:t>Offer of Possession</w:t>
            </w:r>
          </w:p>
        </w:tc>
        <w:tc>
          <w:tcPr>
            <w:tcW w:w="2310" w:type="auto"/>
            <w:vAlign w:val="center"/>
          </w:tcPr>
          <w:p>
            <w:pPr/>
            <w:r>
              <w:br/>
            </w:r>
            <w:r>
              <w:t xml:space="preserve"> 5.00</w:t>
            </w:r>
          </w:p>
        </w:tc>
        <w:tc>
          <w:tcPr>
            <w:tcW w:w="2310" w:type="auto"/>
            <w:vAlign w:val="center"/>
          </w:tcPr>
          <w:p>
            <w:pPr/>
            <w:r>
              <w:br/>
            </w:r>
            <w:r>
              <w:t xml:space="preserve"> 55,000.00</w:t>
            </w:r>
          </w:p>
        </w:tc>
        <w:tc>
          <w:tcPr>
            <w:tcW w:w="2310" w:type="auto"/>
            <w:vAlign w:val="center"/>
          </w:tcPr>
          <w:p>
            <w:pPr/>
            <w:r>
              <w:br/>
            </w:r>
            <w:r>
              <w:t xml:space="preserve"> 275.00</w:t>
            </w:r>
          </w:p>
        </w:tc>
        <w:tc>
          <w:tcPr>
            <w:tcW w:w="2310" w:type="auto"/>
            <w:vAlign w:val="center"/>
          </w:tcPr>
          <w:p>
            <w:pPr/>
            <w:r>
              <w:br/>
            </w:r>
            <w:r>
              <w:t xml:space="preserve"> 275.00</w:t>
            </w:r>
          </w:p>
        </w:tc>
        <w:tc>
          <w:tcPr>
            <w:tcW w:w="2310" w:type="auto"/>
            <w:vAlign w:val="center"/>
          </w:tcPr>
          <w:p>
            <w:pPr/>
            <w:r>
              <w:br/>
            </w:r>
            <w:r>
              <w:t xml:space="preserve"> 55,550.00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11,00,000.00</w:t>
            </w:r>
          </w:p>
        </w:tc>
        <w:tc>
          <w:tcPr>
            <w:tcW w:w="2310" w:type="auto"/>
            <w:vAlign w:val="center"/>
          </w:tcPr>
          <w:p>
            <w:pPr/>
            <w:r>
              <w:br/>
            </w:r>
            <w:r>
              <w:t xml:space="preserve"> 5,500.00</w:t>
            </w:r>
          </w:p>
        </w:tc>
        <w:tc>
          <w:tcPr>
            <w:tcW w:w="2310" w:type="auto"/>
            <w:vAlign w:val="center"/>
          </w:tcPr>
          <w:p>
            <w:pPr/>
            <w:r>
              <w:br/>
            </w:r>
            <w:r>
              <w:t xml:space="preserve"> 5,500.00</w:t>
            </w:r>
          </w:p>
        </w:tc>
        <w:tc>
          <w:tcPr>
            <w:tcW w:w="2310" w:type="auto"/>
            <w:vAlign w:val="center"/>
          </w:tcPr>
          <w:p>
            <w:pPr/>
            <w:r>
              <w:br/>
            </w:r>
            <w:r>
              <w:t xml:space="preserve"> 11,11,000.00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15,600.00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15,600.00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11,40,600.00</w:t>
            </w:r>
          </w:p>
        </w:tc>
        <w:tc>
          <w:tcPr>
            <w:tcW w:w="2310" w:type="auto"/>
            <w:vAlign w:val="center"/>
          </w:tcPr>
          <w:p>
            <w:pPr/>
            <w:r>
              <w:br/>
            </w:r>
            <w:r>
              <w:t xml:space="preserve"> 5,500.00</w:t>
            </w:r>
          </w:p>
        </w:tc>
        <w:tc>
          <w:tcPr>
            <w:tcW w:w="2310" w:type="auto"/>
            <w:vAlign w:val="center"/>
          </w:tcPr>
          <w:p>
            <w:pPr/>
            <w:r>
              <w:br/>
            </w:r>
            <w:r>
              <w:t xml:space="preserve"> 5,500.00</w:t>
            </w:r>
          </w:p>
        </w:tc>
        <w:tc>
          <w:tcPr>
            <w:tcW w:w="2310" w:type="auto"/>
            <w:vAlign w:val="center"/>
          </w:tcPr>
          <w:p>
            <w:pPr/>
            <w:r>
              <w:br/>
            </w:r>
            <w:r>
              <w:t xml:space="preserve"> 11,51,600.00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lastRenderedPageBreak/>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3F4F01D2"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J-301</w:t>
      </w:r>
      <w:r w:rsidR="00D00CA7" w:rsidRPr="000537BB">
        <w:rPr>
          <w:rFonts w:asciiTheme="minorHAnsi" w:hAnsiTheme="minorHAnsi" w:cstheme="minorHAnsi"/>
          <w:sz w:val="22"/>
          <w:szCs w:val="22"/>
        </w:rPr>
        <w:t xml:space="preserve"> and for </w:t>
      </w:r>
      <w:proofErr w:type="gramStart"/>
      <w:r>
        <w:rPr>
          <w:rFonts w:ascii="Calibri" w:hAnsi="Calibri" w:cs="Calibri"/>
          <w:b/>
          <w:noProof/>
          <w:color w:val="000000" w:themeColor="text1"/>
          <w:sz w:val="22"/>
          <w:szCs w:val="22"/>
        </w:rPr>
        <w:t>TOWER-J</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38642F56"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J-301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354.45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w:t>
      </w:r>
      <w:proofErr w:type="gramStart"/>
      <w:r w:rsidRPr="000537BB">
        <w:rPr>
          <w:rFonts w:asciiTheme="minorHAnsi" w:hAnsiTheme="minorHAnsi" w:cstheme="minorHAnsi"/>
          <w:spacing w:val="-3"/>
          <w:sz w:val="22"/>
          <w:szCs w:val="22"/>
        </w:rPr>
        <w:t>in</w:t>
      </w:r>
      <w:bookmarkStart w:id="13" w:name="_GoBack"/>
      <w:bookmarkEnd w:id="13"/>
      <w:r w:rsidRPr="000537BB">
        <w:rPr>
          <w:rFonts w:asciiTheme="minorHAnsi" w:hAnsiTheme="minorHAnsi" w:cstheme="minorHAnsi"/>
          <w:spacing w:val="-3"/>
          <w:sz w:val="22"/>
          <w:szCs w:val="22"/>
        </w:rPr>
        <w:t xml:space="preserve">  </w:t>
      </w:r>
      <w:proofErr w:type="gramEnd"/>
      <w:r>
        <w:rPr>
          <w:rFonts w:ascii="Calibri" w:hAnsi="Calibri" w:cs="Calibri"/>
          <w:b/>
          <w:noProof/>
          <w:sz w:val="22"/>
          <w:szCs w:val="22"/>
        </w:rPr>
        <w:t>TOWER-J</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A5433-C0BB-4B8B-9BFF-27CD3DF26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91</cp:revision>
  <cp:lastPrinted>2025-03-20T05:07:00Z</cp:lastPrinted>
  <dcterms:created xsi:type="dcterms:W3CDTF">2025-02-06T09:39:00Z</dcterms:created>
  <dcterms:modified xsi:type="dcterms:W3CDTF">2025-04-07T10:16:00Z</dcterms:modified>
</cp:coreProperties>
</file>