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Poonam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28-03-2025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Pawan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Ward No 12, NA, Near Shiv Mandir, Uttam Nagar, Rewari, Rewari, Haryana- 123401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C-5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C-5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437.92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763.19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663.64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17.80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Poonam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Pawan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C-5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26,61,800.00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1,31,300.00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26,00,000.00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26,26,000.00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26,35,800.00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26,61,800.00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