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Vijay Pal</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Mrs.</w:t>
      </w:r>
      <w:r>
        <w:rPr>
          <w:rFonts w:asciiTheme="minorHAnsi" w:hAnsiTheme="minorHAnsi" w:cstheme="minorHAnsi"/>
          <w:bCs/>
          <w:sz w:val="20"/>
          <w:szCs w:val="20"/>
        </w:rPr>
        <w:t>Kapila Kumawat</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3449, Nindar Rav Ji Ka Rasta, Bhairaw Ji Ka Mandir, Chandpole, Jaipur, Rajasthan, 302001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421</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421</w:t>
      </w:r>
      <w:r w:rsidRPr="00242251">
        <w:rPr>
          <w:rFonts w:asciiTheme="minorHAnsi" w:hAnsiTheme="minorHAnsi" w:cstheme="minorHAnsi"/>
          <w:sz w:val="20"/>
          <w:szCs w:val="20"/>
        </w:rPr>
        <w:t xml:space="preserve"> on </w:t>
      </w:r>
      <w:r>
        <w:rPr>
          <w:rFonts w:asciiTheme="minorHAnsi" w:hAnsiTheme="minorHAnsi" w:cstheme="minorHAnsi"/>
          <w:sz w:val="20"/>
          <w:szCs w:val="20"/>
        </w:rPr>
        <w:t>04 - Fourth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321.94</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571.04</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6.02</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25 May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25 May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Vijay Pal</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Kapila Kumawat</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421</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15,48,400.00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15,33,400.00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15,48,400.00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