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Phoranta Devi</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27-05-2025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Mukesh Kumar Jat</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Gordhanpura, Tonk, Rajasthan-304504</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316</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316</w:t>
      </w:r>
      <w:r w:rsidRPr="00242251">
        <w:rPr>
          <w:rFonts w:asciiTheme="minorHAnsi" w:hAnsiTheme="minorHAnsi" w:cstheme="minorHAnsi"/>
          <w:sz w:val="20"/>
          <w:szCs w:val="20"/>
        </w:rPr>
        <w:t xml:space="preserve"> on </w:t>
      </w:r>
      <w:r>
        <w:rPr>
          <w:rFonts w:asciiTheme="minorHAnsi" w:hAnsiTheme="minorHAnsi" w:cstheme="minorHAnsi"/>
          <w:sz w:val="20"/>
          <w:szCs w:val="20"/>
        </w:rPr>
        <w:t>03 - Third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317.27</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570.05</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6.02</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25 May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25 May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Phoranta Devi</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Mukesh Kumar Jat</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316</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15,48,400.00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15,33,400.00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15,48,400.00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