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Mrs.</w:t>
      </w:r>
      <w:r w:rsidR="00675C8B" w:rsidRPr="00242251">
        <w:rPr>
          <w:rFonts w:asciiTheme="minorHAnsi" w:hAnsiTheme="minorHAnsi" w:cstheme="minorHAnsi"/>
          <w:bCs/>
          <w:sz w:val="20"/>
          <w:szCs w:val="20"/>
        </w:rPr>
        <w:t xml:space="preserve"> </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09-04-2024</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N/A</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28</w:t>
      </w:r>
      <w:r w:rsidRPr="00242251">
        <w:rPr>
          <w:rFonts w:asciiTheme="minorHAnsi" w:hAnsiTheme="minorHAnsi" w:cstheme="minorHAnsi"/>
          <w:b/>
          <w:bCs/>
          <w:sz w:val="20"/>
          <w:szCs w:val="20"/>
        </w:rPr>
        <w:t>, Type-</w:t>
      </w:r>
      <w:r>
        <w:rPr>
          <w:rFonts w:asciiTheme="minorHAnsi" w:hAnsiTheme="minorHAnsi" w:cstheme="minorHAnsi"/>
          <w:b/>
          <w:bCs/>
          <w:sz w:val="20"/>
          <w:szCs w:val="20"/>
        </w:rPr>
        <w:t>2BHK-Small</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 PHASE II</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28</w:t>
      </w:r>
      <w:r w:rsidRPr="00242251">
        <w:rPr>
          <w:rFonts w:asciiTheme="minorHAnsi" w:hAnsiTheme="minorHAnsi" w:cstheme="minorHAnsi"/>
          <w:sz w:val="20"/>
          <w:szCs w:val="20"/>
        </w:rPr>
        <w:t xml:space="preserve"> on </w:t>
      </w:r>
      <w:r>
        <w:rPr>
          <w:rFonts w:asciiTheme="minorHAnsi" w:hAnsiTheme="minorHAnsi" w:cstheme="minorHAnsi"/>
          <w:sz w:val="20"/>
          <w:szCs w:val="20"/>
        </w:rPr>
        <w:t>Ground Floor GF</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2BHK-Small</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410.75</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383.61</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638.46</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5.80</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17 Mar 2024</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 PHASE II</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17 Mar 2024</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 PHASE II</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Mrs.</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N/A</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28</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Ground Floor GF</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2BHK-Small</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15,00,000.00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15,000.00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30,000.00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10,800.00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15,55,800.00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75,000.00</w:t>
            </w:r>
          </w:p>
        </w:tc>
        <w:tc>
          <w:tcPr>
            <w:tcW w:w="2310" w:type="auto"/>
            <w:vAlign w:val="center"/>
          </w:tcPr>
          <w:p>
            <w:pPr/>
            <w:r>
              <w:br/>
            </w:r>
            <w:r>
              <w:t xml:space="preserve"> 375.00</w:t>
            </w:r>
          </w:p>
        </w:tc>
        <w:tc>
          <w:tcPr>
            <w:tcW w:w="2310" w:type="auto"/>
            <w:vAlign w:val="center"/>
          </w:tcPr>
          <w:p>
            <w:pPr/>
            <w:r>
              <w:br/>
            </w:r>
            <w:r>
              <w:t xml:space="preserve"> 375.00</w:t>
            </w:r>
          </w:p>
        </w:tc>
        <w:tc>
          <w:tcPr>
            <w:tcW w:w="2310" w:type="auto"/>
            <w:vAlign w:val="center"/>
          </w:tcPr>
          <w:p>
            <w:pPr/>
            <w:r>
              <w:br/>
            </w:r>
            <w:r>
              <w:t xml:space="preserve"> 75,750.00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30,000.00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15,40,800.00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15,55,800.00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