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Shahin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23-12-2024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Md Faim</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C-118 Ekta Vihar, Rajdhani Public School, Jaitpur Extn Part-1, Badarpur, South Delhi, Delhi- 110044</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L-306</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L-306</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27 Nov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27 Nov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Shahin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Md Faim</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L-306</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16,08,500.00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15,93,000.00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16,08,500.00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