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Miss.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Swati Gusain</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22-01-2025</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p>
    <w:p w14:paraId="2278DEE6" w14:textId="5F2AFCE4" w:rsidR="00854119" w:rsidRPr="003940C0" w:rsidRDefault="00BD3788" w:rsidP="00CD796F">
      <w:pPr>
        <w:spacing w:before="29"/>
        <w:jc w:val="both"/>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200A, 1st Floor, Duggal Housing Complex School Road, Khanpur, Pushpa Bhawan S.O, South Delhi, Delhi- 110062</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J-101</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TOWER-J</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- 313605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J-101</w:t>
      </w:r>
      <w:r w:rsidRPr="003940C0">
        <w:rPr>
          <w:rFonts w:asciiTheme="minorHAnsi" w:hAnsiTheme="minorHAnsi" w:cstheme="minorHAnsi"/>
          <w:bCs/>
          <w:sz w:val="20"/>
          <w:szCs w:val="20"/>
        </w:rPr>
        <w:t xml:space="preserve"> on </w:t>
      </w:r>
      <w:r>
        <w:rPr>
          <w:rFonts w:asciiTheme="minorHAnsi" w:hAnsiTheme="minorHAnsi" w:cstheme="minorHAnsi"/>
          <w:b/>
          <w:sz w:val="20"/>
          <w:szCs w:val="20"/>
        </w:rPr>
        <w:t>01 - First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TOWER-J</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354.45</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651.54</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0.00</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28.52</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22 Dec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- 313605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22 Dec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A4A28EB" w:rsidR="00685BDD" w:rsidRPr="003940C0" w:rsidRDefault="00337F7E" w:rsidP="00CD796F">
      <w:pPr>
        <w:pStyle w:val="BodyText"/>
        <w:spacing w:line="259" w:lineRule="auto"/>
        <w:ind w:right="119"/>
        <w:jc w:val="both"/>
        <w:rPr>
          <w:rFonts w:asciiTheme="minorHAnsi" w:hAnsiTheme="minorHAnsi" w:cstheme="minorHAnsi"/>
          <w:sz w:val="20"/>
          <w:szCs w:val="20"/>
        </w:rPr>
      </w:pPr>
      <w:r>
        <w:rPr>
          <w:rFonts w:asciiTheme="minorHAnsi" w:hAnsiTheme="minorHAnsi" w:cstheme="minorHAnsi"/>
          <w:sz w:val="20"/>
          <w:szCs w:val="20"/>
        </w:rPr>
        <w:t xml:space="preserve"> 4,50,995.10</w:t>
      </w:r>
      <w:bookmarkStart w:id="1" w:name="_GoBack"/>
      <w:bookmarkEnd w:id="1"/>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Miss.</w:t>
            </w:r>
            <w:r>
              <w:rPr>
                <w:rFonts w:asciiTheme="minorHAnsi" w:hAnsiTheme="minorHAnsi" w:cstheme="minorHAnsi"/>
                <w:bCs/>
                <w:sz w:val="20"/>
                <w:szCs w:val="20"/>
              </w:rPr>
              <w:t>Swati Gusain</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J-101</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TOWER-J</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01 - First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688E2819" w14:textId="59C7AC71"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tc>
        <w:tc>
          <w:tcPr>
            <w:tcW w:w="6180" w:type="dxa"/>
          </w:tcPr>
          <w:p w14:paraId="30A52977" w14:textId="1AE54557"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14,00,000.00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14,000.00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15,600.00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14,54,600.00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2,80,000.00</w:t>
            </w:r>
          </w:p>
        </w:tc>
        <w:tc>
          <w:tcPr>
            <w:tcW w:w="2310" w:type="auto"/>
            <w:vAlign w:val="center"/>
          </w:tcPr>
          <w:p>
            <w:pPr/>
            <w:r>
              <w:br/>
            </w:r>
            <w:r>
              <w:t xml:space="preserve"> 1,400.00</w:t>
            </w:r>
          </w:p>
        </w:tc>
        <w:tc>
          <w:tcPr>
            <w:tcW w:w="2310" w:type="auto"/>
            <w:vAlign w:val="center"/>
          </w:tcPr>
          <w:p>
            <w:pPr/>
            <w:r>
              <w:br/>
            </w:r>
            <w:r>
              <w:t xml:space="preserve"> 1,400.00</w:t>
            </w:r>
          </w:p>
        </w:tc>
        <w:tc>
          <w:tcPr>
            <w:tcW w:w="2310" w:type="auto"/>
            <w:vAlign w:val="center"/>
          </w:tcPr>
          <w:p>
            <w:pPr/>
            <w:r>
              <w:br/>
            </w:r>
            <w:r>
              <w:t xml:space="preserve"> 2,82,800.00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 xml:space="preserve"> 15.00</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 xml:space="preserve"> 15.00</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 xml:space="preserve"> 15.00</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 xml:space="preserve"> 10.00</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8</w:t>
            </w:r>
          </w:p>
        </w:tc>
        <w:tc>
          <w:tcPr>
            <w:tcW w:w="2310" w:type="auto"/>
            <w:vAlign w:val="center"/>
          </w:tcPr>
          <w:p>
            <w:pPr/>
            <w:r>
              <w:br/>
            </w:r>
            <w:r>
              <w:t>Offer of Possession</w:t>
            </w:r>
          </w:p>
        </w:tc>
        <w:tc>
          <w:tcPr>
            <w:tcW w:w="2310" w:type="auto"/>
            <w:vAlign w:val="center"/>
          </w:tcPr>
          <w:p>
            <w:pPr/>
            <w:r>
              <w:br/>
            </w:r>
            <w:r>
              <w:t xml:space="preserve"> 5.00</w:t>
            </w:r>
          </w:p>
        </w:tc>
        <w:tc>
          <w:tcPr>
            <w:tcW w:w="2310" w:type="auto"/>
            <w:vAlign w:val="center"/>
          </w:tcPr>
          <w:p>
            <w:pPr/>
            <w:r>
              <w:br/>
            </w:r>
            <w:r>
              <w:t xml:space="preserve"> 70,000.00</w:t>
            </w:r>
          </w:p>
        </w:tc>
        <w:tc>
          <w:tcPr>
            <w:tcW w:w="2310" w:type="auto"/>
            <w:vAlign w:val="center"/>
          </w:tcPr>
          <w:p>
            <w:pPr/>
            <w:r>
              <w:br/>
            </w:r>
            <w:r>
              <w:t xml:space="preserve"> 350.00</w:t>
            </w:r>
          </w:p>
        </w:tc>
        <w:tc>
          <w:tcPr>
            <w:tcW w:w="2310" w:type="auto"/>
            <w:vAlign w:val="center"/>
          </w:tcPr>
          <w:p>
            <w:pPr/>
            <w:r>
              <w:br/>
            </w:r>
            <w:r>
              <w:t xml:space="preserve"> 350.00</w:t>
            </w:r>
          </w:p>
        </w:tc>
        <w:tc>
          <w:tcPr>
            <w:tcW w:w="2310" w:type="auto"/>
            <w:vAlign w:val="center"/>
          </w:tcPr>
          <w:p>
            <w:pPr/>
            <w:r>
              <w:br/>
            </w:r>
            <w:r>
              <w:t xml:space="preserve"> 70,700.00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14,00,000.00</w:t>
            </w:r>
          </w:p>
        </w:tc>
        <w:tc>
          <w:tcPr>
            <w:tcW w:w="2310" w:type="auto"/>
            <w:vAlign w:val="center"/>
          </w:tcPr>
          <w:p>
            <w:pPr/>
            <w:r>
              <w:br/>
            </w:r>
            <w:r>
              <w:t xml:space="preserve"> 7,000.00</w:t>
            </w:r>
          </w:p>
        </w:tc>
        <w:tc>
          <w:tcPr>
            <w:tcW w:w="2310" w:type="auto"/>
            <w:vAlign w:val="center"/>
          </w:tcPr>
          <w:p>
            <w:pPr/>
            <w:r>
              <w:br/>
            </w:r>
            <w:r>
              <w:t xml:space="preserve"> 7,000.00</w:t>
            </w:r>
          </w:p>
        </w:tc>
        <w:tc>
          <w:tcPr>
            <w:tcW w:w="2310" w:type="auto"/>
            <w:vAlign w:val="center"/>
          </w:tcPr>
          <w:p>
            <w:pPr/>
            <w:r>
              <w:br/>
            </w:r>
            <w:r>
              <w:t xml:space="preserve"> 14,14,000.00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 xml:space="preserve"> 0.00</w:t>
            </w:r>
          </w:p>
        </w:tc>
        <w:tc>
          <w:tcPr>
            <w:tcW w:w="2310" w:type="auto"/>
            <w:vAlign w:val="center"/>
          </w:tcPr>
          <w:p>
            <w:pPr/>
            <w:r>
              <w:br/>
            </w:r>
            <w:r>
              <w:t xml:space="preserve"> 15,600.00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15,600.00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 xml:space="preserve"> 0.00</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14,47,942.00</w:t>
            </w:r>
          </w:p>
        </w:tc>
        <w:tc>
          <w:tcPr>
            <w:tcW w:w="2310" w:type="auto"/>
            <w:vAlign w:val="center"/>
          </w:tcPr>
          <w:p>
            <w:pPr/>
            <w:r>
              <w:br/>
            </w:r>
            <w:r>
              <w:t xml:space="preserve"> 7,660.78</w:t>
            </w:r>
          </w:p>
        </w:tc>
        <w:tc>
          <w:tcPr>
            <w:tcW w:w="2310" w:type="auto"/>
            <w:vAlign w:val="center"/>
          </w:tcPr>
          <w:p>
            <w:pPr/>
            <w:r>
              <w:br/>
            </w:r>
            <w:r>
              <w:t xml:space="preserve"> 7,660.78</w:t>
            </w:r>
          </w:p>
        </w:tc>
        <w:tc>
          <w:tcPr>
            <w:tcW w:w="2310" w:type="auto"/>
            <w:vAlign w:val="center"/>
          </w:tcPr>
          <w:p>
            <w:pPr/>
            <w:r>
              <w:br/>
            </w:r>
            <w:r>
              <w:t xml:space="preserve"> 14,63,263.56</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4E59E" w14:textId="77777777" w:rsidR="00821BE4" w:rsidRDefault="00821BE4" w:rsidP="003C2B0D">
      <w:r>
        <w:separator/>
      </w:r>
    </w:p>
  </w:endnote>
  <w:endnote w:type="continuationSeparator" w:id="0">
    <w:p w14:paraId="202DCDD6" w14:textId="77777777" w:rsidR="00821BE4" w:rsidRDefault="00821BE4"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BF0D1" w14:textId="77777777" w:rsidR="00821BE4" w:rsidRDefault="00821BE4" w:rsidP="003C2B0D">
      <w:r>
        <w:separator/>
      </w:r>
    </w:p>
  </w:footnote>
  <w:footnote w:type="continuationSeparator" w:id="0">
    <w:p w14:paraId="471BC064" w14:textId="77777777" w:rsidR="00821BE4" w:rsidRDefault="00821BE4" w:rsidP="003C2B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119"/>
    <w:rsid w:val="000031C8"/>
    <w:rsid w:val="000B748A"/>
    <w:rsid w:val="0021131B"/>
    <w:rsid w:val="00224368"/>
    <w:rsid w:val="00272608"/>
    <w:rsid w:val="0028724F"/>
    <w:rsid w:val="002E1B7D"/>
    <w:rsid w:val="002E22A0"/>
    <w:rsid w:val="002E6DFF"/>
    <w:rsid w:val="002F382D"/>
    <w:rsid w:val="00337F7E"/>
    <w:rsid w:val="003541A0"/>
    <w:rsid w:val="00357AA0"/>
    <w:rsid w:val="00386DE7"/>
    <w:rsid w:val="00387522"/>
    <w:rsid w:val="003940C0"/>
    <w:rsid w:val="003A47D3"/>
    <w:rsid w:val="003C2B0D"/>
    <w:rsid w:val="003E7482"/>
    <w:rsid w:val="00495012"/>
    <w:rsid w:val="004E6F8C"/>
    <w:rsid w:val="005763AD"/>
    <w:rsid w:val="00675C8B"/>
    <w:rsid w:val="00685094"/>
    <w:rsid w:val="00685BDD"/>
    <w:rsid w:val="0069413E"/>
    <w:rsid w:val="006C3CB3"/>
    <w:rsid w:val="00701805"/>
    <w:rsid w:val="00730DE3"/>
    <w:rsid w:val="007D1AEE"/>
    <w:rsid w:val="00811E73"/>
    <w:rsid w:val="00821BE4"/>
    <w:rsid w:val="00854119"/>
    <w:rsid w:val="00863592"/>
    <w:rsid w:val="00880BA1"/>
    <w:rsid w:val="008C07FA"/>
    <w:rsid w:val="00962D0F"/>
    <w:rsid w:val="00967E19"/>
    <w:rsid w:val="00972B16"/>
    <w:rsid w:val="009E6F9F"/>
    <w:rsid w:val="00A46F3D"/>
    <w:rsid w:val="00A6743C"/>
    <w:rsid w:val="00AB6F45"/>
    <w:rsid w:val="00AD0116"/>
    <w:rsid w:val="00AE4CB8"/>
    <w:rsid w:val="00B65EE8"/>
    <w:rsid w:val="00BD3788"/>
    <w:rsid w:val="00CD796F"/>
    <w:rsid w:val="00CF40C0"/>
    <w:rsid w:val="00D05ACD"/>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Akshay Jadhav</cp:lastModifiedBy>
  <cp:revision>24</cp:revision>
  <dcterms:created xsi:type="dcterms:W3CDTF">2025-03-06T10:55:00Z</dcterms:created>
  <dcterms:modified xsi:type="dcterms:W3CDTF">2025-04-09T11:42:00Z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