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Swati Gusain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22-01-2025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200A, 1st Floor, Duggal Housing Complex School Road, Khanpur, Pushpa Bhawan S.O, South Delhi, Delhi- 110062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Swati Gusain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14,40,600.00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14,54,600.00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