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7517C5">
      <w:pPr>
        <w:pStyle w:val="BodyText"/>
        <w:tabs>
          <w:tab w:val="left" w:pos="-720"/>
        </w:tabs>
        <w:ind w:left="-720" w:right="-630"/>
        <w:jc w:val="right"/>
      </w:pPr>
      <w:r>
        <w:t xml:space="preserve">Date: </w:t>
      </w:r>
      <w:r>
        <w:rPr>
          <w:b/>
        </w:rPr>
        <w:t>23-08-2019</w:t>
      </w:r>
    </w:p>
    <w:p w:rsidR="00923BD5" w:rsidRDefault="0013210C" w:rsidP="00750017">
      <w:pPr>
        <w:pStyle w:val="BodyText"/>
        <w:ind w:right="-810"/>
      </w:pPr>
      <w:r>
        <w:t xml:space="preserve">Customer Id: </w:t>
      </w:r>
      <w:proofErr w:type="spellStart"/>
      <w:proofErr w:type="spellEnd"/>
      <w:r>
        <w:rPr>
          <w:b/>
        </w:rPr>
        <w:t>19743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Mrs.</w:t>
      </w:r>
      <w:r w:rsidR="004879ED">
        <w:t xml:space="preserve"> </w:t>
      </w:r>
      <w:r>
        <w:rPr>
          <w:b/>
        </w:rPr>
        <w:t>SUBHANGI J KSHIRSAGAR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</w:t>
      </w:r>
      <w:proofErr w:type="spellStart"/>
      <w:r>
        <w:t>youcompletesatisfaction</w:t>
      </w:r>
      <w:proofErr w:type="spellEnd"/>
      <w:r>
        <w:t>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Shop-22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54.00</w:t>
      </w:r>
    </w:p>
    <w:p w:rsidR="001447B9" w:rsidRDefault="0013210C">
      <w:pPr>
        <w:pStyle w:val="BodyText"/>
      </w:pPr>
      <w:r>
        <w:t>Unit Cost Detail</w:t>
      </w:r>
    </w:p>
    <w:tbl>
      <w:tblPr>
        <w:tblW w:w="10710" w:type="dxa"/>
        <w:tblInd w:w="108" w:type="dxa"/>
        <w:tblLook w:val="04A0"/>
      </w:tblPr>
      <w:tblGrid>
        <w:gridCol w:w="2989"/>
        <w:gridCol w:w="3553"/>
        <w:gridCol w:w="4168"/>
      </w:tblGrid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lang w:val="en-IN" w:eastAsia="en-IN"/>
              </w:rPr>
              <w:t xml:space="preserve"> 52,57,288.11</w:t>
            </w: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52,57,288.11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Amount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62,02,914.75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proofErr w:type="spellStart"/>
      <w:r w:rsidR="00DD0CA8">
        <w:t>Anoop</w:t>
      </w:r>
      <w:proofErr w:type="spellEnd"/>
      <w:r w:rsidR="00DD0CA8">
        <w:t xml:space="preserve"> </w:t>
      </w:r>
      <w:proofErr w:type="spellStart"/>
      <w:r w:rsidR="00DD0CA8">
        <w:t>Chandramohan</w:t>
      </w:r>
      <w:proofErr w:type="spellEnd"/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PAYMENT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GST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Legal Charges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Registration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Stamp Duty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Corpus Fund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Maintenaince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1st Slab above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2nd Slab above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All  Slab Including 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External Plumbing, external plaster, Elevation, Waterproofing.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of the Water pumps, Electrical fitting, electro mechanical and Environments Requirement ,Plinth protection, Paving of ares.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the Plinth.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Walls, Internal Plaster, Flooring 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Deducted as TDS within 30 days from the date of Agreement.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Poisson or Receipt of Completion certificate whichever is earlier.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prior to execuation of agreement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Within 15 days from the date of Agreement.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</w:tbl>
    <w:p w:rsidR="005E033F" w:rsidRDefault="005E033F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D53888" w:rsidRDefault="0013210C">
      <w:pPr>
        <w:pStyle w:val="BodyText"/>
      </w:pPr>
      <w:r>
        <w:t xml:space="preserve">Regards, </w:t>
      </w:r>
    </w:p>
    <w:p w:rsidR="00923BD5" w:rsidRDefault="00D53888">
      <w:pPr>
        <w:pStyle w:val="BodyText"/>
      </w:pPr>
      <w:proofErr w:type="spellStart"/>
      <w:r>
        <w:t>Anoop</w:t>
      </w:r>
      <w:proofErr w:type="spellEnd"/>
      <w:r>
        <w:t xml:space="preserve"> </w:t>
      </w:r>
      <w:proofErr w:type="spellStart"/>
      <w:r>
        <w:t>Chandramohan</w:t>
      </w:r>
      <w:proofErr w:type="spellEnd"/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750017">
      <w:pgSz w:w="12240" w:h="15840"/>
      <w:pgMar w:top="144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78C4"/>
    <w:rsid w:val="001C1A76"/>
    <w:rsid w:val="001E7AEA"/>
    <w:rsid w:val="0024222A"/>
    <w:rsid w:val="00253DF7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16A7E"/>
    <w:rsid w:val="006B4F12"/>
    <w:rsid w:val="006D557D"/>
    <w:rsid w:val="007217D5"/>
    <w:rsid w:val="00750017"/>
    <w:rsid w:val="007517C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Administrator</cp:lastModifiedBy>
  <cp:revision>6</cp:revision>
  <dcterms:created xsi:type="dcterms:W3CDTF">2019-08-23T08:47:00Z</dcterms:created>
  <dcterms:modified xsi:type="dcterms:W3CDTF">2019-08-23T09:55:00Z</dcterms:modified>
</cp:coreProperties>
</file>