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1AB48C5B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Mrs.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249052124058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 xml:space="preserve">&amp; Co-Applicant </w:t>
      </w:r>
      <w:r>
        <w:rPr>
          <w:rFonts w:asciiTheme="minorHAnsi" w:hAnsiTheme="minorHAnsi" w:cstheme="minorHAnsi"/>
          <w:b/>
          <w:w w:val="105"/>
        </w:rPr>
        <w:t>Aditya Semwal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>
        <w:rPr>
          <w:rFonts w:asciiTheme="minorHAnsi" w:hAnsiTheme="minorHAnsi" w:cstheme="minorHAnsi"/>
          <w:b/>
          <w:w w:val="105"/>
        </w:rPr>
        <w:t>365904508756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>
        <w:rPr>
          <w:rFonts w:asciiTheme="minorHAnsi" w:hAnsiTheme="minorHAnsi" w:cstheme="minorHAnsi"/>
          <w:b/>
          <w:w w:val="105"/>
        </w:rPr>
        <w:t>FBLPS6764Q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2C66A041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B-83-GF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1,087.71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B-83-GF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25,25,000.00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proofErr w:type="gramStart"/>
      <w:r>
        <w:rPr>
          <w:rFonts w:asciiTheme="minorHAnsi" w:hAnsiTheme="minorHAnsi" w:cstheme="minorHAnsi"/>
          <w:w w:val="105"/>
        </w:rPr>
        <w:t xml:space="preserve">Twenty Five Lakh Twenty Five Thousand  only </w:t>
      </w:r>
      <w:r w:rsidR="008F54E2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>)</w:t>
      </w:r>
      <w:proofErr w:type="gramEnd"/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09-09-2024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2,52,500.00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Fifty Two Thousand Five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B-83-GF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2,52,500.00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Fifty Two Thousand Five Hundred 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B-83-GF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09-09-2024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B-83-GF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Ground Floor GF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2,52,500.00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Fifty Two Thousand Five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09-09-2024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Mrs.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Mrs.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68CF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 PHASE III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Mrs.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68CF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Aditya Semwal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68CF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B-83-GF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Ground Floor GF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3BHK+Study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25,00,000.00</w:t>
            </w:r>
          </w:p>
        </w:tc>
      </w:tr>
      <w:tr w:rsidR="00FB1ECE" w:rsidRPr="006855D2" w14:paraId="5380FA1B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25,000.00</w:t>
            </w:r>
          </w:p>
        </w:tc>
      </w:tr>
      <w:tr w:rsidR="00FB1ECE" w:rsidRPr="006855D2" w14:paraId="3E56065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05870C45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25,64,000.00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C75" w14:textId="77777777" w:rsidR="009E5589" w:rsidRDefault="009E5589">
      <w:r>
        <w:separator/>
      </w:r>
    </w:p>
  </w:endnote>
  <w:endnote w:type="continuationSeparator" w:id="0">
    <w:p w14:paraId="4EBC2EEB" w14:textId="77777777" w:rsidR="009E5589" w:rsidRDefault="009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C6D" w14:textId="77777777" w:rsidR="009E5589" w:rsidRDefault="009E5589">
      <w:r>
        <w:separator/>
      </w:r>
    </w:p>
  </w:footnote>
  <w:footnote w:type="continuationSeparator" w:id="0">
    <w:p w14:paraId="5CAD68E1" w14:textId="77777777" w:rsidR="009E5589" w:rsidRDefault="009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3</cp:revision>
  <cp:lastPrinted>2024-11-27T15:08:00Z</cp:lastPrinted>
  <dcterms:created xsi:type="dcterms:W3CDTF">2025-03-24T12:23:00Z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